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257" w:rsidRPr="003E5F81" w:rsidRDefault="009D7257" w:rsidP="009D7257">
      <w:pPr>
        <w:widowControl w:val="0"/>
        <w:jc w:val="center"/>
        <w:rPr>
          <w:rFonts w:ascii="Arial" w:hAnsi="Arial" w:cs="Arial"/>
          <w:b/>
          <w:bCs/>
          <w:i/>
          <w:sz w:val="40"/>
          <w:szCs w:val="40"/>
        </w:rPr>
      </w:pPr>
      <w:r w:rsidRPr="003E5F81">
        <w:rPr>
          <w:rFonts w:ascii="Arial" w:hAnsi="Arial" w:cs="Arial"/>
          <w:b/>
          <w:bCs/>
          <w:i/>
          <w:iCs/>
          <w:sz w:val="40"/>
          <w:szCs w:val="40"/>
        </w:rPr>
        <w:t xml:space="preserve">Comune di </w:t>
      </w:r>
      <w:r w:rsidR="003F1E79" w:rsidRPr="003E5F81">
        <w:rPr>
          <w:rFonts w:ascii="Arial" w:hAnsi="Arial" w:cs="Arial"/>
          <w:b/>
          <w:bCs/>
          <w:i/>
          <w:iCs/>
          <w:sz w:val="40"/>
          <w:szCs w:val="40"/>
        </w:rPr>
        <w:t>SALA MONFERRATO</w:t>
      </w:r>
    </w:p>
    <w:p w:rsidR="009D7257" w:rsidRPr="003E5F81" w:rsidRDefault="009D7257" w:rsidP="009D7257">
      <w:pPr>
        <w:widowControl w:val="0"/>
        <w:spacing w:before="360" w:after="240"/>
        <w:jc w:val="center"/>
        <w:rPr>
          <w:rFonts w:ascii="Arial" w:hAnsi="Arial" w:cs="Arial"/>
          <w:b/>
          <w:bCs/>
          <w:i/>
          <w:iCs/>
          <w:sz w:val="40"/>
          <w:szCs w:val="40"/>
        </w:rPr>
      </w:pPr>
      <w:r w:rsidRPr="003E5F81">
        <w:rPr>
          <w:rFonts w:ascii="Arial" w:hAnsi="Arial" w:cs="Arial"/>
          <w:b/>
          <w:bCs/>
          <w:i/>
          <w:iCs/>
          <w:sz w:val="40"/>
          <w:szCs w:val="40"/>
        </w:rPr>
        <w:t xml:space="preserve">Provincia di </w:t>
      </w:r>
      <w:r w:rsidR="003F1E79" w:rsidRPr="003E5F81">
        <w:rPr>
          <w:rFonts w:ascii="Arial" w:hAnsi="Arial" w:cs="Arial"/>
          <w:b/>
          <w:bCs/>
          <w:i/>
          <w:iCs/>
          <w:sz w:val="40"/>
          <w:szCs w:val="40"/>
        </w:rPr>
        <w:t>ALESSANDRIA</w:t>
      </w:r>
    </w:p>
    <w:p w:rsidR="00B25D57" w:rsidRDefault="00414F14" w:rsidP="00B25D57">
      <w:pPr>
        <w:autoSpaceDE w:val="0"/>
        <w:autoSpaceDN w:val="0"/>
        <w:adjustRightInd w:val="0"/>
        <w:spacing w:before="4920" w:after="5160"/>
        <w:jc w:val="center"/>
        <w:rPr>
          <w:rFonts w:ascii="Arial" w:hAnsi="Arial" w:cs="Arial"/>
          <w:b/>
          <w:bCs/>
          <w:color w:val="0070C0"/>
          <w:sz w:val="56"/>
          <w:szCs w:val="56"/>
        </w:rPr>
      </w:pPr>
      <w:r w:rsidRPr="00B25D57">
        <w:rPr>
          <w:rFonts w:ascii="Arial" w:hAnsi="Arial" w:cs="Arial"/>
          <w:b/>
          <w:bCs/>
          <w:color w:val="0070C0"/>
          <w:sz w:val="56"/>
          <w:szCs w:val="56"/>
        </w:rPr>
        <w:t>R</w:t>
      </w:r>
      <w:r w:rsidR="009D7257" w:rsidRPr="00B25D57">
        <w:rPr>
          <w:rFonts w:ascii="Arial" w:hAnsi="Arial" w:cs="Arial"/>
          <w:b/>
          <w:bCs/>
          <w:color w:val="0070C0"/>
          <w:sz w:val="56"/>
          <w:szCs w:val="56"/>
        </w:rPr>
        <w:t xml:space="preserve">egolamento per l’applicazione </w:t>
      </w:r>
      <w:r w:rsidR="009D7257" w:rsidRPr="00B25D57">
        <w:rPr>
          <w:rFonts w:ascii="Arial" w:hAnsi="Arial" w:cs="Arial"/>
          <w:b/>
          <w:bCs/>
          <w:color w:val="0070C0"/>
          <w:sz w:val="56"/>
          <w:szCs w:val="56"/>
        </w:rPr>
        <w:br/>
        <w:t xml:space="preserve">della nuova IMU – </w:t>
      </w:r>
      <w:r w:rsidR="003E5F81" w:rsidRPr="00B25D57">
        <w:rPr>
          <w:rFonts w:ascii="Arial" w:hAnsi="Arial" w:cs="Arial"/>
          <w:b/>
          <w:bCs/>
          <w:color w:val="0070C0"/>
          <w:sz w:val="56"/>
          <w:szCs w:val="56"/>
        </w:rPr>
        <w:t xml:space="preserve">                             </w:t>
      </w:r>
      <w:r w:rsidR="009D7257" w:rsidRPr="00B25D57">
        <w:rPr>
          <w:rFonts w:ascii="Arial" w:hAnsi="Arial" w:cs="Arial"/>
          <w:b/>
          <w:bCs/>
          <w:color w:val="0070C0"/>
          <w:sz w:val="56"/>
          <w:szCs w:val="56"/>
        </w:rPr>
        <w:t>Imposta</w:t>
      </w:r>
      <w:r w:rsidR="003E5F81" w:rsidRPr="00B25D57">
        <w:rPr>
          <w:rFonts w:ascii="Arial" w:hAnsi="Arial" w:cs="Arial"/>
          <w:b/>
          <w:bCs/>
          <w:color w:val="0070C0"/>
          <w:sz w:val="56"/>
          <w:szCs w:val="56"/>
        </w:rPr>
        <w:t xml:space="preserve"> </w:t>
      </w:r>
      <w:r w:rsidR="009D7257" w:rsidRPr="00B25D57">
        <w:rPr>
          <w:rFonts w:ascii="Arial" w:hAnsi="Arial" w:cs="Arial"/>
          <w:b/>
          <w:bCs/>
          <w:color w:val="0070C0"/>
          <w:sz w:val="56"/>
          <w:szCs w:val="56"/>
        </w:rPr>
        <w:t>Municipale Propria</w:t>
      </w:r>
    </w:p>
    <w:p w:rsidR="00414F14" w:rsidRPr="00434F29" w:rsidRDefault="00414F14" w:rsidP="00B25D57">
      <w:pPr>
        <w:autoSpaceDE w:val="0"/>
        <w:autoSpaceDN w:val="0"/>
        <w:adjustRightInd w:val="0"/>
        <w:spacing w:before="4920" w:after="5160"/>
        <w:jc w:val="center"/>
        <w:rPr>
          <w:rFonts w:ascii="Arial" w:hAnsi="Arial" w:cs="Arial"/>
          <w:sz w:val="20"/>
          <w:szCs w:val="20"/>
        </w:rPr>
      </w:pPr>
      <w:r w:rsidRPr="00434F29">
        <w:rPr>
          <w:rFonts w:ascii="Arial" w:hAnsi="Arial" w:cs="Arial"/>
          <w:sz w:val="20"/>
          <w:szCs w:val="20"/>
        </w:rPr>
        <w:t xml:space="preserve">Approvato con Delibera del Consiglio Comunale n. </w:t>
      </w:r>
      <w:r w:rsidR="009D7257" w:rsidRPr="00434F29">
        <w:rPr>
          <w:rFonts w:ascii="Arial" w:hAnsi="Arial" w:cs="Arial"/>
          <w:sz w:val="20"/>
          <w:szCs w:val="20"/>
        </w:rPr>
        <w:t>............</w:t>
      </w:r>
      <w:r w:rsidRPr="00434F29">
        <w:rPr>
          <w:rFonts w:ascii="Arial" w:hAnsi="Arial" w:cs="Arial"/>
          <w:sz w:val="20"/>
          <w:szCs w:val="20"/>
        </w:rPr>
        <w:t xml:space="preserve"> del </w:t>
      </w:r>
      <w:r w:rsidR="009D7257" w:rsidRPr="00434F29">
        <w:rPr>
          <w:rFonts w:ascii="Arial" w:hAnsi="Arial" w:cs="Arial"/>
          <w:sz w:val="20"/>
          <w:szCs w:val="20"/>
        </w:rPr>
        <w:t>....../....../............</w:t>
      </w:r>
    </w:p>
    <w:p w:rsidR="00414F14" w:rsidRPr="00434F29" w:rsidRDefault="00414F14" w:rsidP="00B73EC9">
      <w:pPr>
        <w:pStyle w:val="Titolo1"/>
        <w:spacing w:before="240" w:after="240"/>
        <w:rPr>
          <w:rFonts w:ascii="Arial" w:hAnsi="Arial" w:cs="Arial"/>
          <w:sz w:val="20"/>
          <w:szCs w:val="20"/>
        </w:rPr>
      </w:pPr>
      <w:r w:rsidRPr="00434F29">
        <w:rPr>
          <w:rFonts w:ascii="Arial" w:hAnsi="Arial" w:cs="Arial"/>
          <w:sz w:val="20"/>
          <w:szCs w:val="20"/>
        </w:rPr>
        <w:br w:type="page"/>
      </w:r>
      <w:r w:rsidRPr="00B25D57">
        <w:rPr>
          <w:rFonts w:ascii="Arial" w:hAnsi="Arial" w:cs="Arial"/>
          <w:color w:val="0070C0"/>
          <w:sz w:val="20"/>
          <w:szCs w:val="20"/>
        </w:rPr>
        <w:lastRenderedPageBreak/>
        <w:t xml:space="preserve">Art. 1 </w:t>
      </w:r>
      <w:bookmarkStart w:id="0" w:name="_Toc8712139"/>
      <w:r w:rsidRPr="00B25D57">
        <w:rPr>
          <w:rFonts w:ascii="Arial" w:hAnsi="Arial" w:cs="Arial"/>
          <w:color w:val="0070C0"/>
          <w:sz w:val="20"/>
          <w:szCs w:val="20"/>
        </w:rPr>
        <w:t>- Oggetto</w:t>
      </w:r>
      <w:bookmarkEnd w:id="0"/>
      <w:r w:rsidRPr="00B25D57">
        <w:rPr>
          <w:rFonts w:ascii="Arial" w:hAnsi="Arial" w:cs="Arial"/>
          <w:color w:val="0070C0"/>
          <w:sz w:val="20"/>
          <w:szCs w:val="20"/>
        </w:rPr>
        <w:t xml:space="preserve"> del regolamento ed ambito di applicazione</w:t>
      </w:r>
    </w:p>
    <w:p w:rsidR="00414F14" w:rsidRPr="00434F29" w:rsidRDefault="00414F14" w:rsidP="009D7257">
      <w:pPr>
        <w:numPr>
          <w:ilvl w:val="0"/>
          <w:numId w:val="1"/>
        </w:numPr>
        <w:spacing w:before="120" w:after="120"/>
        <w:jc w:val="both"/>
        <w:rPr>
          <w:rFonts w:ascii="Arial" w:hAnsi="Arial" w:cs="Arial"/>
          <w:sz w:val="20"/>
          <w:szCs w:val="20"/>
        </w:rPr>
      </w:pPr>
      <w:r w:rsidRPr="00434F29">
        <w:rPr>
          <w:rFonts w:ascii="Arial" w:hAnsi="Arial" w:cs="Arial"/>
          <w:sz w:val="20"/>
          <w:szCs w:val="20"/>
        </w:rPr>
        <w:t xml:space="preserve">Il presente Regolamento, adottato nell'ambito della potestà regolamentare prevista dall’art. 52 del Decreto Legislativo del 15 dicembre 1997, n. 446, disciplina l’applicazione nel </w:t>
      </w:r>
      <w:r w:rsidR="0099105C" w:rsidRPr="00434F29">
        <w:rPr>
          <w:rFonts w:ascii="Arial" w:hAnsi="Arial" w:cs="Arial"/>
          <w:sz w:val="20"/>
          <w:szCs w:val="20"/>
        </w:rPr>
        <w:t>C</w:t>
      </w:r>
      <w:r w:rsidRPr="00434F29">
        <w:rPr>
          <w:rFonts w:ascii="Arial" w:hAnsi="Arial" w:cs="Arial"/>
          <w:sz w:val="20"/>
          <w:szCs w:val="20"/>
        </w:rPr>
        <w:t xml:space="preserve">omune di </w:t>
      </w:r>
      <w:r w:rsidR="003F1E79">
        <w:rPr>
          <w:rFonts w:ascii="Arial" w:hAnsi="Arial" w:cs="Arial"/>
          <w:sz w:val="20"/>
          <w:szCs w:val="20"/>
        </w:rPr>
        <w:t xml:space="preserve">Sala Monferrato </w:t>
      </w:r>
      <w:r w:rsidRPr="00434F29">
        <w:rPr>
          <w:rFonts w:ascii="Arial" w:hAnsi="Arial" w:cs="Arial"/>
          <w:sz w:val="20"/>
          <w:szCs w:val="20"/>
        </w:rPr>
        <w:t>della nuova IMU - Imposta municipale propria, in vigore dal 1 gennaio 2020 a seguito dell’abolizione dell’Imposta unica comunale (IUC) di cui all’art. 1, comma 639, della legge 27 dicembre 2013, n. 147.</w:t>
      </w:r>
    </w:p>
    <w:p w:rsidR="00414F14" w:rsidRPr="00434F29" w:rsidRDefault="00414F14" w:rsidP="009D7257">
      <w:pPr>
        <w:numPr>
          <w:ilvl w:val="0"/>
          <w:numId w:val="1"/>
        </w:numPr>
        <w:spacing w:before="120" w:after="120"/>
        <w:jc w:val="both"/>
        <w:rPr>
          <w:rFonts w:ascii="Arial" w:hAnsi="Arial" w:cs="Arial"/>
          <w:sz w:val="20"/>
          <w:szCs w:val="20"/>
        </w:rPr>
      </w:pPr>
      <w:r w:rsidRPr="00434F29">
        <w:rPr>
          <w:rFonts w:ascii="Arial" w:hAnsi="Arial" w:cs="Arial"/>
          <w:sz w:val="20"/>
          <w:szCs w:val="20"/>
        </w:rPr>
        <w:t>La nuova imposta locale sostituisce le precedenti form</w:t>
      </w:r>
      <w:r w:rsidR="00BF7B21" w:rsidRPr="00434F29">
        <w:rPr>
          <w:rFonts w:ascii="Arial" w:hAnsi="Arial" w:cs="Arial"/>
          <w:sz w:val="20"/>
          <w:szCs w:val="20"/>
        </w:rPr>
        <w:t>e</w:t>
      </w:r>
      <w:r w:rsidRPr="00434F29">
        <w:rPr>
          <w:rFonts w:ascii="Arial" w:hAnsi="Arial" w:cs="Arial"/>
          <w:sz w:val="20"/>
          <w:szCs w:val="20"/>
        </w:rPr>
        <w:t xml:space="preserve"> di prelievo IMU e TASI ed è disciplinata dall’art. 1, commi 739 e seguenti della Legge 27 dicembre 2019, n. 160, nonché dal comma 1 dell’art. 8 e dal comma 9 dell’art. 9 del Decreto Legislativo 14 marzo 2011, n. 23 e dalle altre disposizioni richiamate nelle norme suddette.</w:t>
      </w:r>
    </w:p>
    <w:p w:rsidR="00414F14" w:rsidRPr="00434F29" w:rsidRDefault="00414F14" w:rsidP="009D7257">
      <w:pPr>
        <w:numPr>
          <w:ilvl w:val="0"/>
          <w:numId w:val="1"/>
        </w:numPr>
        <w:spacing w:before="120" w:after="120"/>
        <w:jc w:val="both"/>
        <w:rPr>
          <w:rFonts w:ascii="Arial" w:hAnsi="Arial" w:cs="Arial"/>
          <w:sz w:val="20"/>
          <w:szCs w:val="20"/>
        </w:rPr>
      </w:pPr>
      <w:r w:rsidRPr="00434F29">
        <w:rPr>
          <w:rFonts w:ascii="Arial" w:hAnsi="Arial" w:cs="Arial"/>
          <w:sz w:val="20"/>
          <w:szCs w:val="20"/>
        </w:rPr>
        <w:t>Per quanto non previsto dal presente regolamento si applicano le disposizioni normative vigenti nonché le norme regolamentari in materia di entrate tributarie dell’ente.</w:t>
      </w:r>
    </w:p>
    <w:p w:rsidR="00414F14" w:rsidRPr="00B25D57" w:rsidRDefault="00414F14" w:rsidP="00B73EC9">
      <w:pPr>
        <w:keepNext/>
        <w:autoSpaceDE w:val="0"/>
        <w:autoSpaceDN w:val="0"/>
        <w:adjustRightInd w:val="0"/>
        <w:spacing w:before="240" w:after="240"/>
        <w:outlineLvl w:val="0"/>
        <w:rPr>
          <w:rFonts w:ascii="Arial" w:hAnsi="Arial" w:cs="Arial"/>
          <w:b/>
          <w:bCs/>
          <w:i/>
          <w:iCs/>
          <w:color w:val="0070C0"/>
          <w:sz w:val="20"/>
          <w:szCs w:val="20"/>
        </w:rPr>
      </w:pPr>
      <w:r w:rsidRPr="00B25D57">
        <w:rPr>
          <w:rFonts w:ascii="Arial" w:hAnsi="Arial" w:cs="Arial"/>
          <w:b/>
          <w:bCs/>
          <w:color w:val="0070C0"/>
          <w:sz w:val="20"/>
          <w:szCs w:val="20"/>
        </w:rPr>
        <w:t xml:space="preserve">Art. 2 - Unità abitative assimilate all’abitazione principale </w:t>
      </w:r>
    </w:p>
    <w:p w:rsidR="00DC163F" w:rsidRPr="00434F29" w:rsidRDefault="00DC163F" w:rsidP="006D37E6">
      <w:pPr>
        <w:numPr>
          <w:ilvl w:val="0"/>
          <w:numId w:val="2"/>
        </w:numPr>
        <w:spacing w:before="120" w:after="120"/>
        <w:jc w:val="both"/>
        <w:rPr>
          <w:rFonts w:ascii="Arial" w:hAnsi="Arial" w:cs="Arial"/>
          <w:sz w:val="20"/>
          <w:szCs w:val="20"/>
        </w:rPr>
      </w:pPr>
      <w:r w:rsidRPr="00434F29">
        <w:rPr>
          <w:rFonts w:ascii="Arial" w:hAnsi="Arial" w:cs="Arial"/>
          <w:sz w:val="20"/>
          <w:szCs w:val="20"/>
        </w:rPr>
        <w:t>Si considera abitazione principale l'unità immobiliare posseduta da anziani o disabili che acquisiscono la residenza in istituti di ricovero o sanitari a seguito di ricovero permanente, a condizione che la stessa non risulti locata. In caso di più unità immobiliari, la predetta agevolazione può essere applicata ad una sola unità immobiliare. Allo stesso regime dell’abitazione soggiacciono le eventuali pertinenze, limitatamente ad una unità classificata in ciascuna delle categorie C/2, C/6 e C/7, anche se accatastata unitamente all’abitazione.</w:t>
      </w:r>
    </w:p>
    <w:p w:rsidR="00414F14" w:rsidRPr="00B25D57" w:rsidRDefault="00414F14" w:rsidP="00B73EC9">
      <w:pPr>
        <w:keepNext/>
        <w:autoSpaceDE w:val="0"/>
        <w:autoSpaceDN w:val="0"/>
        <w:adjustRightInd w:val="0"/>
        <w:spacing w:before="240" w:after="240"/>
        <w:outlineLvl w:val="0"/>
        <w:rPr>
          <w:rFonts w:ascii="Arial" w:hAnsi="Arial" w:cs="Arial"/>
          <w:b/>
          <w:bCs/>
          <w:color w:val="0070C0"/>
          <w:sz w:val="20"/>
          <w:szCs w:val="20"/>
        </w:rPr>
      </w:pPr>
      <w:r w:rsidRPr="00B25D57">
        <w:rPr>
          <w:rFonts w:ascii="Arial" w:hAnsi="Arial" w:cs="Arial"/>
          <w:b/>
          <w:color w:val="0070C0"/>
          <w:sz w:val="20"/>
          <w:szCs w:val="20"/>
        </w:rPr>
        <w:t xml:space="preserve">Art. 3 - Immobili inagibili ed inabitabili </w:t>
      </w:r>
    </w:p>
    <w:p w:rsidR="00414F14" w:rsidRPr="00434F29" w:rsidRDefault="00414F14" w:rsidP="009D7257">
      <w:pPr>
        <w:numPr>
          <w:ilvl w:val="0"/>
          <w:numId w:val="3"/>
        </w:numPr>
        <w:tabs>
          <w:tab w:val="clear" w:pos="720"/>
          <w:tab w:val="num" w:pos="360"/>
        </w:tabs>
        <w:spacing w:before="120" w:after="120"/>
        <w:ind w:left="360"/>
        <w:jc w:val="both"/>
        <w:rPr>
          <w:rFonts w:ascii="Arial" w:hAnsi="Arial" w:cs="Arial"/>
          <w:sz w:val="20"/>
          <w:szCs w:val="20"/>
        </w:rPr>
      </w:pPr>
      <w:r w:rsidRPr="00434F29">
        <w:rPr>
          <w:rFonts w:ascii="Arial" w:hAnsi="Arial" w:cs="Arial"/>
          <w:sz w:val="20"/>
          <w:szCs w:val="20"/>
        </w:rPr>
        <w:t>Ai fini dell’applicazione della riduzione di cui all’art. 1, comma 747, lett. b) della Legge 27 dicembre 2019, n. 160, deve sussistere una situazione di fatiscenza sopravvenuta.</w:t>
      </w:r>
    </w:p>
    <w:p w:rsidR="00414F14" w:rsidRPr="00434F29" w:rsidRDefault="00414F14" w:rsidP="009D7257">
      <w:pPr>
        <w:numPr>
          <w:ilvl w:val="0"/>
          <w:numId w:val="3"/>
        </w:numPr>
        <w:tabs>
          <w:tab w:val="clear" w:pos="720"/>
          <w:tab w:val="num" w:pos="360"/>
        </w:tabs>
        <w:spacing w:before="120" w:after="120"/>
        <w:ind w:left="360"/>
        <w:jc w:val="both"/>
        <w:rPr>
          <w:rFonts w:ascii="Arial" w:hAnsi="Arial" w:cs="Arial"/>
          <w:sz w:val="20"/>
          <w:szCs w:val="20"/>
        </w:rPr>
      </w:pPr>
      <w:r w:rsidRPr="00434F29">
        <w:rPr>
          <w:rFonts w:ascii="Arial" w:hAnsi="Arial" w:cs="Arial"/>
          <w:sz w:val="20"/>
          <w:szCs w:val="20"/>
        </w:rPr>
        <w:t>In particolare, l'inagibilità od inabitabilità deve consistere in un degrado fisico sopravvenuto (fabbricato diroccato, pericolante, fatiscente) non superabile con interventi di manutenzione ordinaria o straordinaria.</w:t>
      </w:r>
    </w:p>
    <w:p w:rsidR="00414F14" w:rsidRPr="00434F29" w:rsidRDefault="00414F14" w:rsidP="009D7257">
      <w:pPr>
        <w:numPr>
          <w:ilvl w:val="0"/>
          <w:numId w:val="3"/>
        </w:numPr>
        <w:tabs>
          <w:tab w:val="clear" w:pos="720"/>
          <w:tab w:val="num" w:pos="360"/>
        </w:tabs>
        <w:spacing w:before="120" w:after="120"/>
        <w:ind w:left="360"/>
        <w:jc w:val="both"/>
        <w:rPr>
          <w:rFonts w:ascii="Arial" w:hAnsi="Arial" w:cs="Arial"/>
          <w:sz w:val="20"/>
          <w:szCs w:val="20"/>
        </w:rPr>
      </w:pPr>
      <w:r w:rsidRPr="00434F29">
        <w:rPr>
          <w:rFonts w:ascii="Arial" w:hAnsi="Arial" w:cs="Arial"/>
          <w:sz w:val="20"/>
          <w:szCs w:val="20"/>
        </w:rPr>
        <w:t>I fabbricati devono possedere le caratteristiche di seguito indicate: immobili che necessitino di interventi di restauro e risanamento conservativo e/o di ristrutturazione edilizia, ai sensi dell'art. 31, comma 1, lett. c) e d), della legge 5 agosto 1978, n. 457 ed ai sensi delle disposizioni contenute nel vigente strumento edilizio vigente e che, nel contempo, risultino diroccati, pericolanti e fatiscenti.</w:t>
      </w:r>
    </w:p>
    <w:p w:rsidR="00414F14" w:rsidRPr="00434F29" w:rsidRDefault="00414F14" w:rsidP="009D7257">
      <w:pPr>
        <w:numPr>
          <w:ilvl w:val="0"/>
          <w:numId w:val="3"/>
        </w:numPr>
        <w:tabs>
          <w:tab w:val="clear" w:pos="720"/>
          <w:tab w:val="num" w:pos="360"/>
        </w:tabs>
        <w:spacing w:before="120" w:after="120"/>
        <w:ind w:left="360"/>
        <w:jc w:val="both"/>
        <w:rPr>
          <w:rFonts w:ascii="Arial" w:hAnsi="Arial" w:cs="Arial"/>
          <w:sz w:val="20"/>
          <w:szCs w:val="20"/>
        </w:rPr>
      </w:pPr>
      <w:r w:rsidRPr="00434F29">
        <w:rPr>
          <w:rFonts w:ascii="Arial" w:hAnsi="Arial" w:cs="Arial"/>
          <w:sz w:val="20"/>
          <w:szCs w:val="20"/>
        </w:rPr>
        <w:t>A titolo esemplificativo, si considerano inagibili o inabitabili e di fatto non utilizzati i fabbricati aventi le seguenti caratteristiche:</w:t>
      </w:r>
    </w:p>
    <w:p w:rsidR="00414F14" w:rsidRPr="00434F29" w:rsidRDefault="00414F14" w:rsidP="00B73EC9">
      <w:pPr>
        <w:numPr>
          <w:ilvl w:val="0"/>
          <w:numId w:val="6"/>
        </w:numPr>
        <w:tabs>
          <w:tab w:val="clear" w:pos="1440"/>
        </w:tabs>
        <w:spacing w:before="120" w:after="120"/>
        <w:ind w:left="757"/>
        <w:jc w:val="both"/>
        <w:rPr>
          <w:rFonts w:ascii="Arial" w:hAnsi="Arial" w:cs="Arial"/>
          <w:sz w:val="20"/>
          <w:szCs w:val="20"/>
        </w:rPr>
      </w:pPr>
      <w:r w:rsidRPr="00434F29">
        <w:rPr>
          <w:rFonts w:ascii="Arial" w:hAnsi="Arial" w:cs="Arial"/>
          <w:sz w:val="20"/>
          <w:szCs w:val="20"/>
        </w:rPr>
        <w:t>strutture orizzontali (solai e tetto di copertura) con gravi lesioni che possano costituire pericolo a cose o persone, con rischi di crollo;</w:t>
      </w:r>
    </w:p>
    <w:p w:rsidR="00414F14" w:rsidRPr="00434F29" w:rsidRDefault="00414F14" w:rsidP="00B73EC9">
      <w:pPr>
        <w:numPr>
          <w:ilvl w:val="0"/>
          <w:numId w:val="6"/>
        </w:numPr>
        <w:tabs>
          <w:tab w:val="clear" w:pos="1440"/>
        </w:tabs>
        <w:spacing w:before="120" w:after="120"/>
        <w:ind w:left="757"/>
        <w:jc w:val="both"/>
        <w:rPr>
          <w:rFonts w:ascii="Arial" w:hAnsi="Arial" w:cs="Arial"/>
          <w:sz w:val="20"/>
          <w:szCs w:val="20"/>
        </w:rPr>
      </w:pPr>
      <w:r w:rsidRPr="00434F29">
        <w:rPr>
          <w:rFonts w:ascii="Arial" w:hAnsi="Arial" w:cs="Arial"/>
          <w:sz w:val="20"/>
          <w:szCs w:val="20"/>
        </w:rPr>
        <w:t>strutture verticali (muri perimetrali o di confine) con gravi lesioni che possano costituire pericolo e possano far presagire danni a cose o persone, con rischi di crollo parziale o totale;</w:t>
      </w:r>
    </w:p>
    <w:p w:rsidR="00414F14" w:rsidRPr="00434F29" w:rsidRDefault="00414F14" w:rsidP="00B73EC9">
      <w:pPr>
        <w:numPr>
          <w:ilvl w:val="0"/>
          <w:numId w:val="6"/>
        </w:numPr>
        <w:tabs>
          <w:tab w:val="clear" w:pos="1440"/>
        </w:tabs>
        <w:spacing w:before="120" w:after="120"/>
        <w:ind w:left="757"/>
        <w:jc w:val="both"/>
        <w:rPr>
          <w:rFonts w:ascii="Arial" w:hAnsi="Arial" w:cs="Arial"/>
          <w:sz w:val="20"/>
          <w:szCs w:val="20"/>
        </w:rPr>
      </w:pPr>
      <w:r w:rsidRPr="00434F29">
        <w:rPr>
          <w:rFonts w:ascii="Arial" w:hAnsi="Arial" w:cs="Arial"/>
          <w:sz w:val="20"/>
          <w:szCs w:val="20"/>
        </w:rPr>
        <w:t>edifici per i quali è stata emessa ordinanza sindacale di demolizione o ripristino atta ad evitare danni a cose o persone;</w:t>
      </w:r>
    </w:p>
    <w:p w:rsidR="00414F14" w:rsidRPr="00434F29" w:rsidRDefault="00414F14" w:rsidP="00B73EC9">
      <w:pPr>
        <w:numPr>
          <w:ilvl w:val="0"/>
          <w:numId w:val="6"/>
        </w:numPr>
        <w:tabs>
          <w:tab w:val="clear" w:pos="1440"/>
        </w:tabs>
        <w:spacing w:before="120" w:after="120"/>
        <w:ind w:left="757"/>
        <w:jc w:val="both"/>
        <w:rPr>
          <w:rFonts w:ascii="Arial" w:hAnsi="Arial" w:cs="Arial"/>
          <w:sz w:val="20"/>
          <w:szCs w:val="20"/>
        </w:rPr>
      </w:pPr>
      <w:r w:rsidRPr="00434F29">
        <w:rPr>
          <w:rFonts w:ascii="Arial" w:hAnsi="Arial" w:cs="Arial"/>
          <w:sz w:val="20"/>
          <w:szCs w:val="20"/>
        </w:rPr>
        <w:t>edifici che per le loro caratteristiche intrinseche ed estrinseche di fatiscenza non siano compatibili all'uso per il quale erano destinati, quali la vetustà della costruzione accompagnata dalla mancanza delle parti ornamentali e di finitura del fabbricato (mancanza di infissi, di allaccio alle opere di urbanizzazione primaria, etc.);</w:t>
      </w:r>
    </w:p>
    <w:p w:rsidR="00414F14" w:rsidRPr="00434F29" w:rsidRDefault="00414F14" w:rsidP="009D7257">
      <w:pPr>
        <w:numPr>
          <w:ilvl w:val="0"/>
          <w:numId w:val="3"/>
        </w:numPr>
        <w:tabs>
          <w:tab w:val="clear" w:pos="720"/>
          <w:tab w:val="num" w:pos="360"/>
        </w:tabs>
        <w:spacing w:before="120" w:after="120"/>
        <w:ind w:left="360"/>
        <w:jc w:val="both"/>
        <w:rPr>
          <w:rFonts w:ascii="Arial" w:hAnsi="Arial" w:cs="Arial"/>
          <w:sz w:val="20"/>
          <w:szCs w:val="20"/>
        </w:rPr>
      </w:pPr>
      <w:r w:rsidRPr="00434F29">
        <w:rPr>
          <w:rFonts w:ascii="Arial" w:hAnsi="Arial" w:cs="Arial"/>
          <w:sz w:val="20"/>
          <w:szCs w:val="20"/>
        </w:rPr>
        <w:t>Non costituisce, per sé solo, motivo di inagibilità o inabitabilità il rifacimento e/o il mancato allacciamento degli impianti (gas, luce, acqua, ecc.). Non possono essere considerate inagibili o inabitabili le unità immobiliari carenti delle normali operazioni di riparazione, rinnovamento e sostituzione delle finiture o di quelle necessarie ad integrare e/o mantenere in efficienza gli impianti tecnologici esistenti quali, a titolo di esempio, gli interventi di:</w:t>
      </w:r>
    </w:p>
    <w:p w:rsidR="00414F14" w:rsidRPr="00434F29" w:rsidRDefault="00414F14" w:rsidP="00B73EC9">
      <w:pPr>
        <w:numPr>
          <w:ilvl w:val="0"/>
          <w:numId w:val="8"/>
        </w:numPr>
        <w:tabs>
          <w:tab w:val="clear" w:pos="720"/>
        </w:tabs>
        <w:spacing w:before="120" w:after="120"/>
        <w:ind w:left="757"/>
        <w:jc w:val="both"/>
        <w:rPr>
          <w:rFonts w:ascii="Arial" w:hAnsi="Arial" w:cs="Arial"/>
          <w:sz w:val="20"/>
          <w:szCs w:val="20"/>
        </w:rPr>
      </w:pPr>
      <w:r w:rsidRPr="00434F29">
        <w:rPr>
          <w:rFonts w:ascii="Arial" w:hAnsi="Arial" w:cs="Arial"/>
          <w:sz w:val="20"/>
          <w:szCs w:val="20"/>
        </w:rPr>
        <w:t>tinteggiatura, dipintura e rifacimento intonaci interni ed esterni;</w:t>
      </w:r>
    </w:p>
    <w:p w:rsidR="00414F14" w:rsidRPr="00434F29" w:rsidRDefault="00414F14" w:rsidP="00B73EC9">
      <w:pPr>
        <w:numPr>
          <w:ilvl w:val="0"/>
          <w:numId w:val="8"/>
        </w:numPr>
        <w:tabs>
          <w:tab w:val="clear" w:pos="720"/>
        </w:tabs>
        <w:spacing w:before="120" w:after="120"/>
        <w:ind w:left="757"/>
        <w:jc w:val="both"/>
        <w:rPr>
          <w:rFonts w:ascii="Arial" w:hAnsi="Arial" w:cs="Arial"/>
          <w:sz w:val="20"/>
          <w:szCs w:val="20"/>
        </w:rPr>
      </w:pPr>
      <w:r w:rsidRPr="00434F29">
        <w:rPr>
          <w:rFonts w:ascii="Arial" w:hAnsi="Arial" w:cs="Arial"/>
          <w:sz w:val="20"/>
          <w:szCs w:val="20"/>
        </w:rPr>
        <w:t>pulitura, riparazione di manti di copertura e/o delle pavimentazioni;</w:t>
      </w:r>
    </w:p>
    <w:p w:rsidR="00414F14" w:rsidRPr="00434F29" w:rsidRDefault="00414F14" w:rsidP="00B73EC9">
      <w:pPr>
        <w:numPr>
          <w:ilvl w:val="0"/>
          <w:numId w:val="8"/>
        </w:numPr>
        <w:tabs>
          <w:tab w:val="clear" w:pos="720"/>
        </w:tabs>
        <w:spacing w:before="120" w:after="120"/>
        <w:ind w:left="757"/>
        <w:jc w:val="both"/>
        <w:rPr>
          <w:rFonts w:ascii="Arial" w:hAnsi="Arial" w:cs="Arial"/>
          <w:sz w:val="20"/>
          <w:szCs w:val="20"/>
        </w:rPr>
      </w:pPr>
      <w:r w:rsidRPr="00434F29">
        <w:rPr>
          <w:rFonts w:ascii="Arial" w:hAnsi="Arial" w:cs="Arial"/>
          <w:sz w:val="20"/>
          <w:szCs w:val="20"/>
        </w:rPr>
        <w:t>riparazione ed ammodernamento di impianti tecnici;</w:t>
      </w:r>
    </w:p>
    <w:p w:rsidR="00414F14" w:rsidRPr="00434F29" w:rsidRDefault="00414F14" w:rsidP="00B73EC9">
      <w:pPr>
        <w:numPr>
          <w:ilvl w:val="0"/>
          <w:numId w:val="8"/>
        </w:numPr>
        <w:tabs>
          <w:tab w:val="clear" w:pos="720"/>
        </w:tabs>
        <w:spacing w:before="120" w:after="120"/>
        <w:ind w:left="757"/>
        <w:jc w:val="both"/>
        <w:rPr>
          <w:rFonts w:ascii="Arial" w:hAnsi="Arial" w:cs="Arial"/>
          <w:sz w:val="20"/>
          <w:szCs w:val="20"/>
        </w:rPr>
      </w:pPr>
      <w:r w:rsidRPr="00434F29">
        <w:rPr>
          <w:rFonts w:ascii="Arial" w:hAnsi="Arial" w:cs="Arial"/>
          <w:sz w:val="20"/>
          <w:szCs w:val="20"/>
        </w:rPr>
        <w:t>riparazione e/o sostituzione di parti del tetto, anche con l’inserimento di materiali isolanti;</w:t>
      </w:r>
    </w:p>
    <w:p w:rsidR="00414F14" w:rsidRPr="00434F29" w:rsidRDefault="00414F14" w:rsidP="00B73EC9">
      <w:pPr>
        <w:numPr>
          <w:ilvl w:val="0"/>
          <w:numId w:val="8"/>
        </w:numPr>
        <w:tabs>
          <w:tab w:val="clear" w:pos="720"/>
        </w:tabs>
        <w:spacing w:before="120" w:after="120"/>
        <w:ind w:left="757"/>
        <w:jc w:val="both"/>
        <w:rPr>
          <w:rFonts w:ascii="Arial" w:hAnsi="Arial" w:cs="Arial"/>
          <w:sz w:val="20"/>
          <w:szCs w:val="20"/>
        </w:rPr>
      </w:pPr>
      <w:r w:rsidRPr="00434F29">
        <w:rPr>
          <w:rFonts w:ascii="Arial" w:hAnsi="Arial" w:cs="Arial"/>
          <w:sz w:val="20"/>
          <w:szCs w:val="20"/>
        </w:rPr>
        <w:t>rimozione di lastre di fibrocemento contenenti amianto.</w:t>
      </w:r>
    </w:p>
    <w:p w:rsidR="00BB478F" w:rsidRPr="00434F29" w:rsidRDefault="00BB478F" w:rsidP="00BB478F">
      <w:pPr>
        <w:numPr>
          <w:ilvl w:val="0"/>
          <w:numId w:val="3"/>
        </w:numPr>
        <w:tabs>
          <w:tab w:val="clear" w:pos="720"/>
          <w:tab w:val="num" w:pos="426"/>
        </w:tabs>
        <w:ind w:hanging="720"/>
        <w:jc w:val="both"/>
        <w:rPr>
          <w:rFonts w:ascii="Arial" w:hAnsi="Arial" w:cs="Arial"/>
          <w:sz w:val="20"/>
          <w:szCs w:val="20"/>
        </w:rPr>
      </w:pPr>
      <w:r w:rsidRPr="00434F29">
        <w:rPr>
          <w:rFonts w:ascii="Arial" w:hAnsi="Arial" w:cs="Arial"/>
          <w:sz w:val="20"/>
          <w:szCs w:val="20"/>
        </w:rPr>
        <w:lastRenderedPageBreak/>
        <w:t xml:space="preserve">Lo stato di inabitabilità o di inagibilità può essere accertato: </w:t>
      </w:r>
    </w:p>
    <w:p w:rsidR="00BB478F" w:rsidRPr="00434F29" w:rsidRDefault="00BB478F" w:rsidP="00BB478F">
      <w:pPr>
        <w:numPr>
          <w:ilvl w:val="3"/>
          <w:numId w:val="19"/>
        </w:numPr>
        <w:jc w:val="both"/>
        <w:rPr>
          <w:rFonts w:ascii="Arial" w:hAnsi="Arial" w:cs="Arial"/>
          <w:sz w:val="20"/>
          <w:szCs w:val="20"/>
        </w:rPr>
      </w:pPr>
      <w:r w:rsidRPr="00434F29">
        <w:rPr>
          <w:rFonts w:ascii="Arial" w:hAnsi="Arial" w:cs="Arial"/>
          <w:sz w:val="20"/>
          <w:szCs w:val="20"/>
        </w:rPr>
        <w:t>da parte dell'Ufficio tecnico comunale, con spese a carico del possessore, che allega idonea documentazione alla dichiarazione;</w:t>
      </w:r>
    </w:p>
    <w:p w:rsidR="00BB478F" w:rsidRPr="00434F29" w:rsidRDefault="00BB478F" w:rsidP="00BB478F">
      <w:pPr>
        <w:numPr>
          <w:ilvl w:val="3"/>
          <w:numId w:val="19"/>
        </w:numPr>
        <w:jc w:val="both"/>
        <w:rPr>
          <w:rFonts w:ascii="Arial" w:hAnsi="Arial" w:cs="Arial"/>
          <w:sz w:val="20"/>
          <w:szCs w:val="20"/>
        </w:rPr>
      </w:pPr>
      <w:r w:rsidRPr="00434F29">
        <w:rPr>
          <w:rFonts w:ascii="Arial" w:hAnsi="Arial" w:cs="Arial"/>
          <w:sz w:val="20"/>
          <w:szCs w:val="20"/>
        </w:rPr>
        <w:t>da parte del contribuente, mediante presentazione di una dichiarazione sostitutiva ai sensi D.P.R. 28 dicembre 2000, n. 445, che attesti la dichiarazione di inagibilità o inabitabilità del fabbricato da parte di un tecnico abilitato, con espresso riferimento ai requisiti di cui al comma 2.</w:t>
      </w:r>
    </w:p>
    <w:p w:rsidR="00BB478F" w:rsidRPr="00434F29" w:rsidRDefault="00BB478F" w:rsidP="00BB478F">
      <w:pPr>
        <w:numPr>
          <w:ilvl w:val="0"/>
          <w:numId w:val="3"/>
        </w:numPr>
        <w:tabs>
          <w:tab w:val="clear" w:pos="720"/>
          <w:tab w:val="num" w:pos="426"/>
        </w:tabs>
        <w:ind w:left="426" w:hanging="426"/>
        <w:jc w:val="both"/>
        <w:rPr>
          <w:rFonts w:ascii="Arial" w:hAnsi="Arial" w:cs="Arial"/>
          <w:sz w:val="20"/>
          <w:szCs w:val="20"/>
        </w:rPr>
      </w:pPr>
      <w:r w:rsidRPr="00434F29">
        <w:rPr>
          <w:rFonts w:ascii="Arial" w:hAnsi="Arial" w:cs="Arial"/>
          <w:sz w:val="20"/>
          <w:szCs w:val="20"/>
        </w:rPr>
        <w:t xml:space="preserve">In ogni caso, la riduzione prevista al comma 1 si applica dalla data in cui è stata accertata l'inabitabilità o l'inagibilità da parte dell'Ufficio tecnico comunale, ai sensi del comma 4, lettera a), ovvero dalla data di presentazione della dichiarazione sostitutiva, ai sensi del comma </w:t>
      </w:r>
      <w:r w:rsidR="00350950">
        <w:rPr>
          <w:rFonts w:ascii="Arial" w:hAnsi="Arial" w:cs="Arial"/>
          <w:sz w:val="20"/>
          <w:szCs w:val="20"/>
        </w:rPr>
        <w:t>6</w:t>
      </w:r>
      <w:r w:rsidRPr="00434F29">
        <w:rPr>
          <w:rFonts w:ascii="Arial" w:hAnsi="Arial" w:cs="Arial"/>
          <w:sz w:val="20"/>
          <w:szCs w:val="20"/>
        </w:rPr>
        <w:t xml:space="preserve"> lettera b).</w:t>
      </w:r>
    </w:p>
    <w:p w:rsidR="00F26407" w:rsidRPr="00434F29" w:rsidRDefault="00F26407" w:rsidP="00BB478F">
      <w:pPr>
        <w:numPr>
          <w:ilvl w:val="0"/>
          <w:numId w:val="3"/>
        </w:numPr>
        <w:tabs>
          <w:tab w:val="clear" w:pos="720"/>
          <w:tab w:val="num" w:pos="426"/>
        </w:tabs>
        <w:ind w:left="426" w:hanging="426"/>
        <w:jc w:val="both"/>
        <w:rPr>
          <w:rFonts w:ascii="Arial" w:hAnsi="Arial" w:cs="Arial"/>
          <w:sz w:val="20"/>
          <w:szCs w:val="20"/>
        </w:rPr>
      </w:pPr>
      <w:r w:rsidRPr="00434F29">
        <w:rPr>
          <w:rFonts w:ascii="Arial" w:hAnsi="Arial" w:cs="Arial"/>
          <w:sz w:val="20"/>
          <w:szCs w:val="20"/>
        </w:rPr>
        <w:t>La cessata situazione di inagibilità o inabitabilità deve essere dichiarata al Comune.</w:t>
      </w:r>
    </w:p>
    <w:p w:rsidR="00BB478F" w:rsidRPr="00B25D57" w:rsidRDefault="00BB478F" w:rsidP="00BB478F">
      <w:pPr>
        <w:spacing w:before="120" w:after="120"/>
        <w:ind w:left="397"/>
        <w:jc w:val="both"/>
        <w:rPr>
          <w:rFonts w:ascii="Arial" w:hAnsi="Arial" w:cs="Arial"/>
          <w:color w:val="0070C0"/>
          <w:sz w:val="20"/>
          <w:szCs w:val="20"/>
        </w:rPr>
      </w:pPr>
    </w:p>
    <w:p w:rsidR="00414F14" w:rsidRPr="00B25D57" w:rsidRDefault="00414F14" w:rsidP="00B73EC9">
      <w:pPr>
        <w:pStyle w:val="Titolo2"/>
        <w:autoSpaceDE w:val="0"/>
        <w:autoSpaceDN w:val="0"/>
        <w:adjustRightInd w:val="0"/>
        <w:spacing w:before="240" w:after="240"/>
        <w:jc w:val="left"/>
        <w:rPr>
          <w:i/>
          <w:iCs/>
          <w:color w:val="0070C0"/>
          <w:sz w:val="20"/>
          <w:szCs w:val="20"/>
        </w:rPr>
      </w:pPr>
      <w:r w:rsidRPr="00B25D57">
        <w:rPr>
          <w:color w:val="0070C0"/>
          <w:sz w:val="20"/>
          <w:szCs w:val="20"/>
        </w:rPr>
        <w:t xml:space="preserve">Art. </w:t>
      </w:r>
      <w:r w:rsidR="003E5F81" w:rsidRPr="00B25D57">
        <w:rPr>
          <w:color w:val="0070C0"/>
          <w:sz w:val="20"/>
          <w:szCs w:val="20"/>
        </w:rPr>
        <w:t>4</w:t>
      </w:r>
      <w:r w:rsidRPr="00B25D57">
        <w:rPr>
          <w:color w:val="0070C0"/>
          <w:sz w:val="20"/>
          <w:szCs w:val="20"/>
        </w:rPr>
        <w:t xml:space="preserve"> – Valori di riferimento delle aree fabbricabili </w:t>
      </w:r>
    </w:p>
    <w:p w:rsidR="00434F29" w:rsidRDefault="00434F29" w:rsidP="00434F29">
      <w:pPr>
        <w:numPr>
          <w:ilvl w:val="1"/>
          <w:numId w:val="6"/>
        </w:numPr>
        <w:tabs>
          <w:tab w:val="clear" w:pos="1440"/>
          <w:tab w:val="num" w:pos="426"/>
        </w:tabs>
        <w:spacing w:before="120" w:after="120"/>
        <w:ind w:left="426" w:hanging="426"/>
        <w:jc w:val="both"/>
        <w:rPr>
          <w:rFonts w:ascii="Arial" w:hAnsi="Arial" w:cs="Arial"/>
          <w:sz w:val="20"/>
          <w:szCs w:val="20"/>
        </w:rPr>
      </w:pPr>
      <w:r w:rsidRPr="00434F29">
        <w:rPr>
          <w:rFonts w:ascii="Arial" w:hAnsi="Arial" w:cs="Arial"/>
          <w:sz w:val="20"/>
          <w:szCs w:val="20"/>
        </w:rPr>
        <w:t>La base imponibile dell’area fabbricabile è determinata considerando il valore venale in comune commercio al 1° gennaio dell’anno d’imposizione, o a far data dall’adozione degli strumenti urbanistici generali o attuativi, così come risultante da atto pubblico o perizia giurata e comunque in misura non inferiore ai valori venali di riferimento deliberati dalla Giunta Comunale entro il 31 marzo di ogni anno o comunque entro il termine ultimo per l’approvazione del bilancio di previsione, in applicazione della facoltà di cui all’articolo 1, comma 777 della legge 27 dicembre 2019, n.160. In caso di mancata deliberazione entro il suddetto termine, i valori venali si intendono confermati di anno in anno.</w:t>
      </w:r>
    </w:p>
    <w:p w:rsidR="009641FA" w:rsidRDefault="00434F29" w:rsidP="009641FA">
      <w:pPr>
        <w:numPr>
          <w:ilvl w:val="1"/>
          <w:numId w:val="6"/>
        </w:numPr>
        <w:tabs>
          <w:tab w:val="clear" w:pos="1440"/>
        </w:tabs>
        <w:spacing w:before="120" w:after="120"/>
        <w:ind w:left="426" w:hanging="426"/>
        <w:jc w:val="both"/>
        <w:rPr>
          <w:rFonts w:ascii="Arial" w:hAnsi="Arial" w:cs="Arial"/>
          <w:sz w:val="20"/>
          <w:szCs w:val="20"/>
        </w:rPr>
      </w:pPr>
      <w:r w:rsidRPr="00434F29">
        <w:rPr>
          <w:rFonts w:ascii="Arial" w:hAnsi="Arial" w:cs="Arial"/>
          <w:sz w:val="20"/>
          <w:szCs w:val="20"/>
        </w:rPr>
        <w:t>Qualora l’imposta sia stata versata sulla base di un valore non inferiore a quello predeterminato dalla Giunta Comunale, non si farà luogo ad accertamento di maggiore imposta a condizione che per la medesima area non sia stato registrato, in atto pubblico o perizia, un valore superiore a quello deliberato</w:t>
      </w:r>
      <w:r w:rsidR="00362C27">
        <w:rPr>
          <w:rFonts w:ascii="Arial" w:hAnsi="Arial" w:cs="Arial"/>
          <w:sz w:val="20"/>
          <w:szCs w:val="20"/>
        </w:rPr>
        <w:t>.</w:t>
      </w:r>
      <w:r w:rsidRPr="00434F29">
        <w:rPr>
          <w:rFonts w:ascii="Arial" w:hAnsi="Arial" w:cs="Arial"/>
          <w:sz w:val="20"/>
          <w:szCs w:val="20"/>
        </w:rPr>
        <w:t>.</w:t>
      </w:r>
    </w:p>
    <w:p w:rsidR="009641FA" w:rsidRDefault="00434F29" w:rsidP="009641FA">
      <w:pPr>
        <w:numPr>
          <w:ilvl w:val="1"/>
          <w:numId w:val="6"/>
        </w:numPr>
        <w:tabs>
          <w:tab w:val="clear" w:pos="1440"/>
        </w:tabs>
        <w:spacing w:before="120" w:after="120"/>
        <w:ind w:left="426" w:hanging="426"/>
        <w:jc w:val="both"/>
        <w:rPr>
          <w:rFonts w:ascii="Arial" w:hAnsi="Arial" w:cs="Arial"/>
          <w:sz w:val="20"/>
          <w:szCs w:val="20"/>
        </w:rPr>
      </w:pPr>
      <w:r w:rsidRPr="009641FA">
        <w:rPr>
          <w:rFonts w:ascii="Arial" w:hAnsi="Arial" w:cs="Arial"/>
          <w:sz w:val="20"/>
          <w:szCs w:val="20"/>
        </w:rPr>
        <w:t>Qualora l’imposta sia stata versata sulla base di un valore superiore a quello predeterminato dalla Giunta Comunale non si darà luogo al rimborso, salve le ipotesi di errore debitamente documentato.</w:t>
      </w:r>
    </w:p>
    <w:p w:rsidR="009641FA" w:rsidRDefault="00434F29" w:rsidP="00CE021F">
      <w:pPr>
        <w:numPr>
          <w:ilvl w:val="1"/>
          <w:numId w:val="6"/>
        </w:numPr>
        <w:tabs>
          <w:tab w:val="clear" w:pos="1440"/>
        </w:tabs>
        <w:spacing w:before="120" w:after="120"/>
        <w:ind w:left="426" w:hanging="426"/>
        <w:jc w:val="both"/>
        <w:rPr>
          <w:rFonts w:ascii="Arial" w:hAnsi="Arial" w:cs="Arial"/>
          <w:sz w:val="20"/>
          <w:szCs w:val="20"/>
        </w:rPr>
      </w:pPr>
      <w:r w:rsidRPr="009641FA">
        <w:rPr>
          <w:rFonts w:ascii="Arial" w:hAnsi="Arial" w:cs="Arial"/>
          <w:sz w:val="20"/>
          <w:szCs w:val="20"/>
        </w:rPr>
        <w:t xml:space="preserve">In caso di interventi di recupero a norma dell'articolo 3, comma 1, lettere c), d) e f) del </w:t>
      </w:r>
      <w:proofErr w:type="spellStart"/>
      <w:r w:rsidRPr="009641FA">
        <w:rPr>
          <w:rFonts w:ascii="Arial" w:hAnsi="Arial" w:cs="Arial"/>
          <w:sz w:val="20"/>
          <w:szCs w:val="20"/>
        </w:rPr>
        <w:t>dPR</w:t>
      </w:r>
      <w:proofErr w:type="spellEnd"/>
      <w:r w:rsidRPr="009641FA">
        <w:rPr>
          <w:rFonts w:ascii="Arial" w:hAnsi="Arial" w:cs="Arial"/>
          <w:sz w:val="20"/>
          <w:szCs w:val="20"/>
        </w:rPr>
        <w:t xml:space="preserve"> 6 giugno 2001, n. 380, la base imponibile è costituita dal valore dell'area, la quale è considerata fabbricabile, senza computare il valore del fabbricato in corso d'opera, fino alla data di ultimazione dei lavori di costruzione, ricostruzione o ristrutturazione ovvero, se antecedente, fino alla data in cui il fabbricato costruito, ricostruito o ristrutturato è comunque utilizzato. Per la valutazione dell’area fabbricabile, con la delibera di cui al comma 1, la Giunta Comunale può individuare dei valori di riferimento, tenendo conto della destinazione e della zona. </w:t>
      </w:r>
    </w:p>
    <w:p w:rsidR="00434F29" w:rsidRDefault="00434F29" w:rsidP="00CE021F">
      <w:pPr>
        <w:numPr>
          <w:ilvl w:val="1"/>
          <w:numId w:val="6"/>
        </w:numPr>
        <w:tabs>
          <w:tab w:val="clear" w:pos="1440"/>
        </w:tabs>
        <w:spacing w:before="120" w:after="120"/>
        <w:ind w:left="426" w:hanging="426"/>
        <w:jc w:val="both"/>
        <w:rPr>
          <w:rFonts w:ascii="Arial" w:hAnsi="Arial" w:cs="Arial"/>
          <w:sz w:val="20"/>
          <w:szCs w:val="20"/>
        </w:rPr>
      </w:pPr>
      <w:r w:rsidRPr="009641FA">
        <w:rPr>
          <w:rFonts w:ascii="Arial" w:hAnsi="Arial" w:cs="Arial"/>
          <w:sz w:val="20"/>
          <w:szCs w:val="20"/>
        </w:rPr>
        <w:t>Nel caso di omessa o infedele denuncia di area fabbricabile, il valore di accertamento è pari a quello deliberato ai sensi del comma 1 o, se maggiore, a quello risultante da atto pubblico o perizia.</w:t>
      </w:r>
    </w:p>
    <w:p w:rsidR="00294F61" w:rsidRPr="00B25D57" w:rsidRDefault="00294F61" w:rsidP="00B73EC9">
      <w:pPr>
        <w:pStyle w:val="Titolo2"/>
        <w:autoSpaceDE w:val="0"/>
        <w:autoSpaceDN w:val="0"/>
        <w:adjustRightInd w:val="0"/>
        <w:spacing w:before="240" w:after="240"/>
        <w:jc w:val="left"/>
        <w:rPr>
          <w:color w:val="0070C0"/>
          <w:sz w:val="20"/>
          <w:szCs w:val="20"/>
        </w:rPr>
      </w:pPr>
    </w:p>
    <w:p w:rsidR="00414F14" w:rsidRPr="00B25D57" w:rsidRDefault="00414F14" w:rsidP="00B73EC9">
      <w:pPr>
        <w:pStyle w:val="Titolo2"/>
        <w:autoSpaceDE w:val="0"/>
        <w:autoSpaceDN w:val="0"/>
        <w:adjustRightInd w:val="0"/>
        <w:spacing w:before="240" w:after="240"/>
        <w:jc w:val="left"/>
        <w:rPr>
          <w:color w:val="0070C0"/>
          <w:sz w:val="20"/>
          <w:szCs w:val="20"/>
        </w:rPr>
      </w:pPr>
      <w:r w:rsidRPr="00B25D57">
        <w:rPr>
          <w:color w:val="0070C0"/>
          <w:sz w:val="20"/>
          <w:szCs w:val="20"/>
        </w:rPr>
        <w:t xml:space="preserve">Art. </w:t>
      </w:r>
      <w:r w:rsidR="003E5F81" w:rsidRPr="00B25D57">
        <w:rPr>
          <w:color w:val="0070C0"/>
          <w:sz w:val="20"/>
          <w:szCs w:val="20"/>
        </w:rPr>
        <w:t>5</w:t>
      </w:r>
      <w:r w:rsidRPr="00B25D57">
        <w:rPr>
          <w:color w:val="0070C0"/>
          <w:sz w:val="20"/>
          <w:szCs w:val="20"/>
        </w:rPr>
        <w:t xml:space="preserve"> – Esenzion</w:t>
      </w:r>
      <w:r w:rsidR="00CD76C3" w:rsidRPr="00B25D57">
        <w:rPr>
          <w:color w:val="0070C0"/>
          <w:sz w:val="20"/>
          <w:szCs w:val="20"/>
        </w:rPr>
        <w:t>e immobile dato in comodato</w:t>
      </w:r>
    </w:p>
    <w:p w:rsidR="00CD76C3" w:rsidRPr="00CD76C3" w:rsidRDefault="00CD76C3" w:rsidP="00CD76C3">
      <w:pPr>
        <w:numPr>
          <w:ilvl w:val="0"/>
          <w:numId w:val="26"/>
        </w:numPr>
        <w:jc w:val="both"/>
        <w:rPr>
          <w:rFonts w:ascii="Arial" w:hAnsi="Arial" w:cs="Arial"/>
          <w:sz w:val="20"/>
          <w:szCs w:val="20"/>
        </w:rPr>
      </w:pPr>
      <w:r w:rsidRPr="00CD76C3">
        <w:rPr>
          <w:rFonts w:ascii="Arial" w:hAnsi="Arial" w:cs="Arial"/>
          <w:sz w:val="20"/>
          <w:szCs w:val="20"/>
        </w:rPr>
        <w:t>Sono esenti gli immobili dati in comodato gratuito registrato al Comune o altro ente territoriale, destinati esclusivamente all’esercizio dei rispettivi compiti istituzionali.</w:t>
      </w:r>
    </w:p>
    <w:p w:rsidR="00CD76C3" w:rsidRPr="00CD76C3" w:rsidRDefault="00CD76C3" w:rsidP="00CD76C3">
      <w:pPr>
        <w:numPr>
          <w:ilvl w:val="0"/>
          <w:numId w:val="26"/>
        </w:numPr>
        <w:jc w:val="both"/>
        <w:rPr>
          <w:rFonts w:ascii="Arial" w:hAnsi="Arial" w:cs="Arial"/>
          <w:sz w:val="20"/>
          <w:szCs w:val="20"/>
        </w:rPr>
      </w:pPr>
      <w:r w:rsidRPr="00CD76C3">
        <w:rPr>
          <w:rFonts w:ascii="Arial" w:hAnsi="Arial" w:cs="Arial"/>
          <w:sz w:val="20"/>
          <w:szCs w:val="20"/>
        </w:rPr>
        <w:t>Sono esenti i fabbricati dati in comodato gratuito registrato ad enti non commerciali ed esclusivamente utilizzati per lo svolgimento con modalità non commerciali delle attività previste nella lettera i) dell’articolo 7, comma 1, del decreto legislativo 30 dicembre 1992, n. 504, a condizione che dette attività siano comprese negli scopi statutari degli enti stessi.</w:t>
      </w:r>
    </w:p>
    <w:p w:rsidR="00CD76C3" w:rsidRPr="00CD76C3" w:rsidRDefault="00CD76C3" w:rsidP="00CD76C3">
      <w:pPr>
        <w:numPr>
          <w:ilvl w:val="0"/>
          <w:numId w:val="26"/>
        </w:numPr>
        <w:jc w:val="both"/>
        <w:rPr>
          <w:rFonts w:ascii="Arial" w:hAnsi="Arial" w:cs="Arial"/>
          <w:sz w:val="20"/>
          <w:szCs w:val="20"/>
        </w:rPr>
      </w:pPr>
      <w:r w:rsidRPr="00CD76C3">
        <w:rPr>
          <w:rFonts w:ascii="Arial" w:hAnsi="Arial" w:cs="Arial"/>
          <w:sz w:val="20"/>
          <w:szCs w:val="20"/>
        </w:rPr>
        <w:t>L’esenzione di cui ai commi precedenti è subordinata alla presentazione di una comunicazione redatta su modello predisposto dal Comune da presentarsi a pena di decadenza entro il 30 giugno dell’anno successivo a quello in cui si verificano i presupposti per l’esenzione.</w:t>
      </w:r>
    </w:p>
    <w:p w:rsidR="00CD76C3" w:rsidRPr="00CD76C3" w:rsidRDefault="00CD76C3" w:rsidP="00CD76C3">
      <w:pPr>
        <w:numPr>
          <w:ilvl w:val="0"/>
          <w:numId w:val="26"/>
        </w:numPr>
        <w:jc w:val="both"/>
        <w:rPr>
          <w:rFonts w:ascii="Arial" w:hAnsi="Arial" w:cs="Arial"/>
          <w:sz w:val="20"/>
          <w:szCs w:val="20"/>
        </w:rPr>
      </w:pPr>
      <w:r w:rsidRPr="00CD76C3">
        <w:rPr>
          <w:rFonts w:ascii="Arial" w:hAnsi="Arial" w:cs="Arial"/>
          <w:sz w:val="20"/>
          <w:szCs w:val="20"/>
        </w:rPr>
        <w:t>L’esenzione opera solo per il periodo dell’anno durante il quale sussistono le condizioni prescritte dai commi 1 e 2.</w:t>
      </w:r>
    </w:p>
    <w:p w:rsidR="00CD76C3" w:rsidRDefault="00CD76C3" w:rsidP="00CD76C3">
      <w:pPr>
        <w:numPr>
          <w:ilvl w:val="0"/>
          <w:numId w:val="26"/>
        </w:numPr>
        <w:jc w:val="both"/>
        <w:rPr>
          <w:rFonts w:ascii="Arial" w:hAnsi="Arial" w:cs="Arial"/>
          <w:sz w:val="20"/>
          <w:szCs w:val="20"/>
        </w:rPr>
      </w:pPr>
      <w:r w:rsidRPr="00CD76C3">
        <w:rPr>
          <w:rFonts w:ascii="Arial" w:hAnsi="Arial" w:cs="Arial"/>
          <w:sz w:val="20"/>
          <w:szCs w:val="20"/>
        </w:rPr>
        <w:t>Con riferimento alle esenzioni disposte ai sensi del presente articolo su immobili classificati nel gruppo catastale D, gravati da una quota dell’IMU di spettanza statale, si applicano le disposizioni di cui al comma 4 dell’articolo 7</w:t>
      </w:r>
      <w:r w:rsidR="00294F61">
        <w:rPr>
          <w:rFonts w:ascii="Arial" w:hAnsi="Arial" w:cs="Arial"/>
          <w:sz w:val="20"/>
          <w:szCs w:val="20"/>
        </w:rPr>
        <w:t xml:space="preserve"> </w:t>
      </w:r>
      <w:r w:rsidR="00294F61" w:rsidRPr="00CD76C3">
        <w:rPr>
          <w:rFonts w:ascii="Arial" w:hAnsi="Arial" w:cs="Arial"/>
          <w:sz w:val="20"/>
          <w:szCs w:val="20"/>
        </w:rPr>
        <w:t>del decreto legislativo 30 dicembre 1992, n. 504</w:t>
      </w:r>
      <w:r w:rsidRPr="00CD76C3">
        <w:rPr>
          <w:rFonts w:ascii="Arial" w:hAnsi="Arial" w:cs="Arial"/>
          <w:sz w:val="20"/>
          <w:szCs w:val="20"/>
        </w:rPr>
        <w:t>.</w:t>
      </w:r>
    </w:p>
    <w:p w:rsidR="004A024A" w:rsidRDefault="004A024A" w:rsidP="004A024A">
      <w:pPr>
        <w:jc w:val="both"/>
        <w:rPr>
          <w:rFonts w:ascii="Arial" w:hAnsi="Arial" w:cs="Arial"/>
          <w:sz w:val="20"/>
          <w:szCs w:val="20"/>
        </w:rPr>
      </w:pPr>
    </w:p>
    <w:p w:rsidR="00294F61" w:rsidRPr="00B25D57" w:rsidRDefault="00294F61" w:rsidP="00294F61">
      <w:pPr>
        <w:pStyle w:val="Titolo2"/>
        <w:autoSpaceDE w:val="0"/>
        <w:autoSpaceDN w:val="0"/>
        <w:adjustRightInd w:val="0"/>
        <w:spacing w:before="240" w:after="240"/>
        <w:jc w:val="left"/>
        <w:rPr>
          <w:i/>
          <w:iCs/>
          <w:color w:val="0070C0"/>
          <w:sz w:val="20"/>
          <w:szCs w:val="20"/>
        </w:rPr>
      </w:pPr>
      <w:r w:rsidRPr="00B25D57">
        <w:rPr>
          <w:color w:val="0070C0"/>
          <w:sz w:val="20"/>
          <w:szCs w:val="20"/>
        </w:rPr>
        <w:lastRenderedPageBreak/>
        <w:t xml:space="preserve">Art. </w:t>
      </w:r>
      <w:r w:rsidR="003E5F81" w:rsidRPr="00B25D57">
        <w:rPr>
          <w:color w:val="0070C0"/>
          <w:sz w:val="20"/>
          <w:szCs w:val="20"/>
        </w:rPr>
        <w:t>6</w:t>
      </w:r>
      <w:r w:rsidRPr="00B25D57">
        <w:rPr>
          <w:color w:val="0070C0"/>
          <w:sz w:val="20"/>
          <w:szCs w:val="20"/>
        </w:rPr>
        <w:t xml:space="preserve"> – Versamenti </w:t>
      </w:r>
    </w:p>
    <w:p w:rsidR="00294F61" w:rsidRPr="00434F29" w:rsidRDefault="00294F61" w:rsidP="00294F61">
      <w:pPr>
        <w:numPr>
          <w:ilvl w:val="2"/>
          <w:numId w:val="8"/>
        </w:numPr>
        <w:tabs>
          <w:tab w:val="clear" w:pos="2340"/>
        </w:tabs>
        <w:spacing w:before="120" w:after="120"/>
        <w:ind w:left="567" w:hanging="567"/>
        <w:jc w:val="both"/>
        <w:rPr>
          <w:rFonts w:ascii="Arial" w:hAnsi="Arial" w:cs="Arial"/>
          <w:sz w:val="20"/>
          <w:szCs w:val="20"/>
        </w:rPr>
      </w:pPr>
      <w:r w:rsidRPr="00434F29">
        <w:rPr>
          <w:rFonts w:ascii="Arial" w:hAnsi="Arial" w:cs="Arial"/>
          <w:sz w:val="20"/>
          <w:szCs w:val="20"/>
        </w:rPr>
        <w:t xml:space="preserve">Il versamento non è dovuto qualora l’importo dell’imposta sia uguale o inferiore a 12 euro. Tale importo si intende riferito all’imposta complessivamente dovuta per l’anno d’imposta e non alle singole rate di acconto e di saldo. </w:t>
      </w:r>
    </w:p>
    <w:p w:rsidR="00294F61" w:rsidRPr="00434F29" w:rsidRDefault="00294F61" w:rsidP="00294F61">
      <w:pPr>
        <w:numPr>
          <w:ilvl w:val="2"/>
          <w:numId w:val="8"/>
        </w:numPr>
        <w:tabs>
          <w:tab w:val="clear" w:pos="2340"/>
        </w:tabs>
        <w:spacing w:before="120" w:after="120"/>
        <w:ind w:left="567" w:hanging="567"/>
        <w:jc w:val="both"/>
        <w:rPr>
          <w:rFonts w:ascii="Arial" w:hAnsi="Arial" w:cs="Arial"/>
          <w:sz w:val="20"/>
          <w:szCs w:val="20"/>
        </w:rPr>
      </w:pPr>
      <w:r w:rsidRPr="00434F29">
        <w:rPr>
          <w:rFonts w:ascii="Arial" w:hAnsi="Arial" w:cs="Arial"/>
          <w:sz w:val="20"/>
          <w:szCs w:val="20"/>
        </w:rPr>
        <w:t>I versamenti dell’imposta si considerano regolarmente eseguiti anche se effettuati da un contitolare per conto degli altri, a condizione che ne sia data comunicazione all’ente impositore.</w:t>
      </w:r>
    </w:p>
    <w:p w:rsidR="00294F61" w:rsidRPr="00434F29" w:rsidRDefault="00294F61" w:rsidP="00294F61">
      <w:pPr>
        <w:numPr>
          <w:ilvl w:val="2"/>
          <w:numId w:val="8"/>
        </w:numPr>
        <w:tabs>
          <w:tab w:val="clear" w:pos="2340"/>
        </w:tabs>
        <w:spacing w:before="120" w:after="120"/>
        <w:ind w:left="567" w:hanging="567"/>
        <w:jc w:val="both"/>
        <w:rPr>
          <w:rFonts w:ascii="Arial" w:hAnsi="Arial" w:cs="Arial"/>
          <w:sz w:val="20"/>
          <w:szCs w:val="20"/>
        </w:rPr>
      </w:pPr>
      <w:r w:rsidRPr="00434F29">
        <w:rPr>
          <w:rFonts w:ascii="Arial" w:hAnsi="Arial" w:cs="Arial"/>
          <w:sz w:val="20"/>
          <w:szCs w:val="20"/>
        </w:rPr>
        <w:t>Con deliberazione della Giunta Comunale, i termini ordinari di versamento dell'imposta possono essere sospesi e differiti per i soggetti passivi che hanno l’obbligo di versamento del tributo, per la sola quota dovuta in favore del Comune di Sala Monferrato quando si verificano:</w:t>
      </w:r>
    </w:p>
    <w:p w:rsidR="00294F61" w:rsidRPr="00434F29" w:rsidRDefault="00294F61" w:rsidP="00294F61">
      <w:pPr>
        <w:numPr>
          <w:ilvl w:val="0"/>
          <w:numId w:val="20"/>
        </w:numPr>
        <w:spacing w:before="120" w:after="120"/>
        <w:jc w:val="both"/>
        <w:rPr>
          <w:rFonts w:ascii="Arial" w:hAnsi="Arial" w:cs="Arial"/>
          <w:sz w:val="20"/>
          <w:szCs w:val="20"/>
        </w:rPr>
      </w:pPr>
      <w:r w:rsidRPr="00434F29">
        <w:rPr>
          <w:rFonts w:ascii="Arial" w:hAnsi="Arial" w:cs="Arial"/>
          <w:sz w:val="20"/>
          <w:szCs w:val="20"/>
        </w:rPr>
        <w:t>gravi calamità naturali;</w:t>
      </w:r>
    </w:p>
    <w:p w:rsidR="00294F61" w:rsidRPr="00434F29" w:rsidRDefault="00294F61" w:rsidP="00294F61">
      <w:pPr>
        <w:numPr>
          <w:ilvl w:val="0"/>
          <w:numId w:val="20"/>
        </w:numPr>
        <w:spacing w:before="120" w:after="120"/>
        <w:jc w:val="both"/>
        <w:rPr>
          <w:rFonts w:ascii="Arial" w:hAnsi="Arial" w:cs="Arial"/>
          <w:sz w:val="20"/>
          <w:szCs w:val="20"/>
        </w:rPr>
      </w:pPr>
      <w:r w:rsidRPr="00434F29">
        <w:rPr>
          <w:rFonts w:ascii="Arial" w:hAnsi="Arial" w:cs="Arial"/>
          <w:sz w:val="20"/>
          <w:szCs w:val="20"/>
        </w:rPr>
        <w:t>particolari situazioni di disagio economico, individuate con criteri fissati nella medesima deliberazione.</w:t>
      </w:r>
    </w:p>
    <w:p w:rsidR="00294F61" w:rsidRDefault="00294F61" w:rsidP="004A024A">
      <w:pPr>
        <w:jc w:val="both"/>
        <w:rPr>
          <w:rFonts w:ascii="Arial" w:hAnsi="Arial" w:cs="Arial"/>
          <w:sz w:val="20"/>
          <w:szCs w:val="20"/>
        </w:rPr>
      </w:pPr>
    </w:p>
    <w:p w:rsidR="004A024A" w:rsidRPr="00B25D57" w:rsidRDefault="004A024A" w:rsidP="00CE024E">
      <w:pPr>
        <w:pStyle w:val="Titolo2"/>
        <w:autoSpaceDE w:val="0"/>
        <w:autoSpaceDN w:val="0"/>
        <w:adjustRightInd w:val="0"/>
        <w:spacing w:before="240" w:after="240"/>
        <w:jc w:val="left"/>
        <w:rPr>
          <w:color w:val="0070C0"/>
          <w:sz w:val="20"/>
          <w:szCs w:val="20"/>
        </w:rPr>
      </w:pPr>
      <w:bookmarkStart w:id="1" w:name="_Toc314411941"/>
      <w:bookmarkStart w:id="2" w:name="_Toc34662177"/>
      <w:r w:rsidRPr="00B25D57">
        <w:rPr>
          <w:color w:val="0070C0"/>
          <w:sz w:val="20"/>
          <w:szCs w:val="20"/>
        </w:rPr>
        <w:t xml:space="preserve">Articolo </w:t>
      </w:r>
      <w:r w:rsidR="003E5F81" w:rsidRPr="00B25D57">
        <w:rPr>
          <w:color w:val="0070C0"/>
          <w:sz w:val="20"/>
          <w:szCs w:val="20"/>
        </w:rPr>
        <w:t>7</w:t>
      </w:r>
      <w:r w:rsidRPr="00B25D57">
        <w:rPr>
          <w:color w:val="0070C0"/>
          <w:sz w:val="20"/>
          <w:szCs w:val="20"/>
        </w:rPr>
        <w:t xml:space="preserve">– </w:t>
      </w:r>
      <w:bookmarkStart w:id="3" w:name="_Toc8712167"/>
      <w:r w:rsidRPr="00B25D57">
        <w:rPr>
          <w:color w:val="0070C0"/>
          <w:sz w:val="20"/>
          <w:szCs w:val="20"/>
        </w:rPr>
        <w:t>Interessi moratori</w:t>
      </w:r>
      <w:bookmarkEnd w:id="1"/>
      <w:bookmarkEnd w:id="2"/>
      <w:bookmarkEnd w:id="3"/>
    </w:p>
    <w:p w:rsidR="004A024A" w:rsidRPr="00CE024E" w:rsidRDefault="004A024A" w:rsidP="004A024A">
      <w:pPr>
        <w:numPr>
          <w:ilvl w:val="0"/>
          <w:numId w:val="28"/>
        </w:numPr>
        <w:jc w:val="both"/>
        <w:rPr>
          <w:rFonts w:ascii="Arial" w:hAnsi="Arial" w:cs="Arial"/>
          <w:sz w:val="20"/>
          <w:szCs w:val="20"/>
        </w:rPr>
      </w:pPr>
      <w:r w:rsidRPr="00CE024E">
        <w:rPr>
          <w:rFonts w:ascii="Arial" w:hAnsi="Arial" w:cs="Arial"/>
          <w:sz w:val="20"/>
          <w:szCs w:val="20"/>
        </w:rPr>
        <w:t>Sulle somme dovute a titolo di imposta municipale propria a seguito di violazioni contestate si applicano gli interessi moratori pari al tasso legale</w:t>
      </w:r>
      <w:r w:rsidR="00CE024E">
        <w:rPr>
          <w:rFonts w:ascii="Arial" w:hAnsi="Arial" w:cs="Arial"/>
          <w:sz w:val="20"/>
          <w:szCs w:val="20"/>
        </w:rPr>
        <w:t xml:space="preserve">. </w:t>
      </w:r>
      <w:r w:rsidRPr="00CE024E">
        <w:rPr>
          <w:rFonts w:ascii="Arial" w:hAnsi="Arial" w:cs="Arial"/>
          <w:sz w:val="20"/>
          <w:szCs w:val="20"/>
        </w:rPr>
        <w:t xml:space="preserve">Gli interessi sono calcolati con maturazione giorno per giorno con decorrenza dal giorno in cui sono divenuti esigibili. </w:t>
      </w:r>
    </w:p>
    <w:p w:rsidR="004A024A" w:rsidRDefault="004A024A" w:rsidP="004A024A">
      <w:pPr>
        <w:jc w:val="both"/>
        <w:rPr>
          <w:rFonts w:ascii="Bookman Old Style" w:hAnsi="Bookman Old Style"/>
          <w:sz w:val="22"/>
          <w:szCs w:val="22"/>
        </w:rPr>
      </w:pPr>
    </w:p>
    <w:p w:rsidR="004A024A" w:rsidRPr="00B25D57" w:rsidRDefault="004A024A" w:rsidP="00CE024E">
      <w:pPr>
        <w:pStyle w:val="Titolo2"/>
        <w:autoSpaceDE w:val="0"/>
        <w:autoSpaceDN w:val="0"/>
        <w:adjustRightInd w:val="0"/>
        <w:spacing w:before="240" w:after="240"/>
        <w:jc w:val="left"/>
        <w:rPr>
          <w:color w:val="0070C0"/>
          <w:sz w:val="20"/>
          <w:szCs w:val="20"/>
        </w:rPr>
      </w:pPr>
      <w:r w:rsidRPr="00B25D57">
        <w:rPr>
          <w:color w:val="0070C0"/>
          <w:sz w:val="20"/>
          <w:szCs w:val="20"/>
        </w:rPr>
        <w:t xml:space="preserve"> </w:t>
      </w:r>
      <w:bookmarkStart w:id="4" w:name="_Toc8712168"/>
      <w:bookmarkStart w:id="5" w:name="_Toc34662178"/>
      <w:bookmarkStart w:id="6" w:name="_Toc314411942"/>
      <w:r w:rsidRPr="00B25D57">
        <w:rPr>
          <w:color w:val="0070C0"/>
          <w:sz w:val="20"/>
          <w:szCs w:val="20"/>
        </w:rPr>
        <w:t xml:space="preserve">Articolo </w:t>
      </w:r>
      <w:bookmarkEnd w:id="4"/>
      <w:r w:rsidR="003E5F81" w:rsidRPr="00B25D57">
        <w:rPr>
          <w:color w:val="0070C0"/>
          <w:sz w:val="20"/>
          <w:szCs w:val="20"/>
        </w:rPr>
        <w:t>8</w:t>
      </w:r>
      <w:r w:rsidRPr="00B25D57">
        <w:rPr>
          <w:color w:val="0070C0"/>
          <w:sz w:val="20"/>
          <w:szCs w:val="20"/>
        </w:rPr>
        <w:t xml:space="preserve"> – </w:t>
      </w:r>
      <w:bookmarkStart w:id="7" w:name="_Toc8712169"/>
      <w:r w:rsidRPr="00B25D57">
        <w:rPr>
          <w:color w:val="0070C0"/>
          <w:sz w:val="20"/>
          <w:szCs w:val="20"/>
        </w:rPr>
        <w:t>Rimborsi</w:t>
      </w:r>
      <w:bookmarkEnd w:id="7"/>
      <w:r w:rsidRPr="00B25D57">
        <w:rPr>
          <w:color w:val="0070C0"/>
          <w:sz w:val="20"/>
          <w:szCs w:val="20"/>
        </w:rPr>
        <w:t xml:space="preserve"> e compensazione</w:t>
      </w:r>
      <w:bookmarkEnd w:id="5"/>
      <w:bookmarkEnd w:id="6"/>
    </w:p>
    <w:p w:rsidR="00156615" w:rsidRDefault="00156615" w:rsidP="00EF5D25">
      <w:pPr>
        <w:numPr>
          <w:ilvl w:val="6"/>
          <w:numId w:val="29"/>
        </w:numPr>
        <w:jc w:val="both"/>
        <w:rPr>
          <w:rFonts w:ascii="Arial" w:hAnsi="Arial" w:cs="Arial"/>
          <w:sz w:val="20"/>
          <w:szCs w:val="20"/>
        </w:rPr>
      </w:pPr>
      <w:r>
        <w:rPr>
          <w:rFonts w:ascii="Arial" w:hAnsi="Arial" w:cs="Arial"/>
          <w:sz w:val="20"/>
          <w:szCs w:val="20"/>
        </w:rPr>
        <w:t>Non si procede a rimborso di somme inferiore ad € 12,00</w:t>
      </w:r>
    </w:p>
    <w:p w:rsidR="00EF5D25" w:rsidRDefault="004A024A" w:rsidP="00EF5D25">
      <w:pPr>
        <w:numPr>
          <w:ilvl w:val="6"/>
          <w:numId w:val="29"/>
        </w:numPr>
        <w:jc w:val="both"/>
        <w:rPr>
          <w:rFonts w:ascii="Arial" w:hAnsi="Arial" w:cs="Arial"/>
          <w:sz w:val="20"/>
          <w:szCs w:val="20"/>
        </w:rPr>
      </w:pPr>
      <w:r w:rsidRPr="00EF5D25">
        <w:rPr>
          <w:rFonts w:ascii="Arial" w:hAnsi="Arial" w:cs="Arial"/>
          <w:sz w:val="20"/>
          <w:szCs w:val="20"/>
        </w:rPr>
        <w:t xml:space="preserve">Sulle somme da rimborsare è corrisposto l'interesse nella misura stabilita dall’articolo </w:t>
      </w:r>
      <w:r w:rsidR="00A3682C">
        <w:rPr>
          <w:rFonts w:ascii="Arial" w:hAnsi="Arial" w:cs="Arial"/>
          <w:sz w:val="20"/>
          <w:szCs w:val="20"/>
        </w:rPr>
        <w:t>8 comma 1</w:t>
      </w:r>
      <w:r w:rsidR="00E44F86">
        <w:rPr>
          <w:rFonts w:ascii="Arial" w:hAnsi="Arial" w:cs="Arial"/>
          <w:sz w:val="20"/>
          <w:szCs w:val="20"/>
        </w:rPr>
        <w:t>.</w:t>
      </w:r>
      <w:r w:rsidRPr="00EF5D25">
        <w:rPr>
          <w:rFonts w:ascii="Arial" w:hAnsi="Arial" w:cs="Arial"/>
          <w:sz w:val="20"/>
          <w:szCs w:val="20"/>
        </w:rPr>
        <w:t xml:space="preserve"> Gli interessi sono calcolati con maturazione giorno per giorno con decorrenza dalla data dell’eseguito versamento.</w:t>
      </w:r>
    </w:p>
    <w:p w:rsidR="00EF5D25" w:rsidRDefault="004A024A" w:rsidP="00EF5D25">
      <w:pPr>
        <w:numPr>
          <w:ilvl w:val="6"/>
          <w:numId w:val="29"/>
        </w:numPr>
        <w:jc w:val="both"/>
        <w:rPr>
          <w:rFonts w:ascii="Arial" w:hAnsi="Arial" w:cs="Arial"/>
          <w:sz w:val="20"/>
          <w:szCs w:val="20"/>
        </w:rPr>
      </w:pPr>
      <w:r w:rsidRPr="00EF5D25">
        <w:rPr>
          <w:rFonts w:ascii="Arial" w:hAnsi="Arial" w:cs="Arial"/>
          <w:sz w:val="20"/>
          <w:szCs w:val="20"/>
        </w:rPr>
        <w:t>Il provvedimento di rimborso deve essere emanato entro centoottanta giorni dalla data di presentazione dell’istanza.</w:t>
      </w:r>
    </w:p>
    <w:p w:rsidR="00EF5D25" w:rsidRDefault="004A024A" w:rsidP="00EF5D25">
      <w:pPr>
        <w:numPr>
          <w:ilvl w:val="6"/>
          <w:numId w:val="29"/>
        </w:numPr>
        <w:jc w:val="both"/>
        <w:rPr>
          <w:rFonts w:ascii="Arial" w:hAnsi="Arial" w:cs="Arial"/>
          <w:sz w:val="20"/>
          <w:szCs w:val="20"/>
        </w:rPr>
      </w:pPr>
      <w:r w:rsidRPr="00EF5D25">
        <w:rPr>
          <w:rFonts w:ascii="Arial" w:hAnsi="Arial" w:cs="Arial"/>
          <w:sz w:val="20"/>
          <w:szCs w:val="20"/>
        </w:rPr>
        <w:t xml:space="preserve">Non si dà luogo al rimborso di importi uguali o inferiori al versamento minimo di cui all’articolo </w:t>
      </w:r>
      <w:r w:rsidR="00525E02">
        <w:rPr>
          <w:rFonts w:ascii="Arial" w:hAnsi="Arial" w:cs="Arial"/>
          <w:sz w:val="20"/>
          <w:szCs w:val="20"/>
        </w:rPr>
        <w:t>8 comma 1</w:t>
      </w:r>
      <w:r w:rsidRPr="00EF5D25">
        <w:rPr>
          <w:rFonts w:ascii="Arial" w:hAnsi="Arial" w:cs="Arial"/>
          <w:sz w:val="20"/>
          <w:szCs w:val="20"/>
        </w:rPr>
        <w:t xml:space="preserve">. </w:t>
      </w:r>
    </w:p>
    <w:p w:rsidR="00EF5D25" w:rsidRDefault="004A024A" w:rsidP="00EF5D25">
      <w:pPr>
        <w:numPr>
          <w:ilvl w:val="6"/>
          <w:numId w:val="29"/>
        </w:numPr>
        <w:jc w:val="both"/>
        <w:rPr>
          <w:rFonts w:ascii="Arial" w:hAnsi="Arial" w:cs="Arial"/>
          <w:sz w:val="20"/>
          <w:szCs w:val="20"/>
        </w:rPr>
      </w:pPr>
      <w:r w:rsidRPr="00EF5D25">
        <w:rPr>
          <w:rFonts w:ascii="Arial" w:hAnsi="Arial" w:cs="Arial"/>
          <w:sz w:val="20"/>
          <w:szCs w:val="20"/>
        </w:rPr>
        <w:t>Le somme da rimborsare possono, su richiesta del contribuente formulata nell’istanza di rimborso, essere compensate con gli importi dovuti dal contribuente al Comune stesso a titolo di imposta municipale propria. La compensazione è subordinata alla notifica del provvedimento di accoglimento del rimborso e con esso comunicata.</w:t>
      </w:r>
    </w:p>
    <w:p w:rsidR="00EF5D25" w:rsidRDefault="004A024A" w:rsidP="00EF5D25">
      <w:pPr>
        <w:numPr>
          <w:ilvl w:val="6"/>
          <w:numId w:val="29"/>
        </w:numPr>
        <w:jc w:val="both"/>
        <w:rPr>
          <w:rFonts w:ascii="Arial" w:hAnsi="Arial" w:cs="Arial"/>
          <w:sz w:val="20"/>
          <w:szCs w:val="20"/>
        </w:rPr>
      </w:pPr>
      <w:r w:rsidRPr="00EF5D25">
        <w:rPr>
          <w:rFonts w:ascii="Arial" w:hAnsi="Arial" w:cs="Arial"/>
          <w:sz w:val="20"/>
          <w:szCs w:val="20"/>
        </w:rPr>
        <w:t>L’obbligazione tributaria di importo non superiore ad euro mille può essere estinta, purché non sia intervenuta decadenza del diritto al rimborso, mediante compensazione tra credito e debito IMU, fermo restando il divieto di compensazione tra quota statale e quota comunale dell’IMU. Il contribuente che intende avvalersi della compensazione presenta apposta comunicazione, su modulo predisposto dal Comune, almeno trenta giorni prima della scadenza del termine previsto per il versamento dell’imposta dovuta. Rimane impregiudicata la possibilità di accertamento a seguito della verifica delle comunicazioni presentate dal contribuente.</w:t>
      </w:r>
    </w:p>
    <w:p w:rsidR="004A024A" w:rsidRDefault="004A024A" w:rsidP="004A024A">
      <w:pPr>
        <w:ind w:left="360"/>
        <w:jc w:val="both"/>
        <w:rPr>
          <w:rFonts w:ascii="Bookman Old Style" w:hAnsi="Bookman Old Style"/>
          <w:sz w:val="22"/>
          <w:szCs w:val="22"/>
        </w:rPr>
      </w:pPr>
    </w:p>
    <w:p w:rsidR="004A024A" w:rsidRPr="00B25D57" w:rsidRDefault="004A024A" w:rsidP="00766712">
      <w:pPr>
        <w:pStyle w:val="Titolo2"/>
        <w:autoSpaceDE w:val="0"/>
        <w:autoSpaceDN w:val="0"/>
        <w:adjustRightInd w:val="0"/>
        <w:spacing w:before="240" w:after="240"/>
        <w:jc w:val="left"/>
        <w:rPr>
          <w:color w:val="0070C0"/>
          <w:sz w:val="20"/>
          <w:szCs w:val="20"/>
        </w:rPr>
      </w:pPr>
      <w:bookmarkStart w:id="8" w:name="_Toc8712180"/>
      <w:bookmarkStart w:id="9" w:name="_Toc34662179"/>
      <w:bookmarkStart w:id="10" w:name="_Toc314411947"/>
      <w:r w:rsidRPr="00B25D57">
        <w:rPr>
          <w:color w:val="0070C0"/>
          <w:sz w:val="20"/>
          <w:szCs w:val="20"/>
        </w:rPr>
        <w:t xml:space="preserve">Articolo </w:t>
      </w:r>
      <w:bookmarkEnd w:id="8"/>
      <w:r w:rsidR="003E5F81" w:rsidRPr="00B25D57">
        <w:rPr>
          <w:color w:val="0070C0"/>
          <w:sz w:val="20"/>
          <w:szCs w:val="20"/>
        </w:rPr>
        <w:t>9</w:t>
      </w:r>
      <w:r w:rsidRPr="00B25D57">
        <w:rPr>
          <w:color w:val="0070C0"/>
          <w:sz w:val="20"/>
          <w:szCs w:val="20"/>
        </w:rPr>
        <w:t xml:space="preserve"> – </w:t>
      </w:r>
      <w:bookmarkStart w:id="11" w:name="_Toc8712181"/>
      <w:r w:rsidRPr="00B25D57">
        <w:rPr>
          <w:color w:val="0070C0"/>
          <w:sz w:val="20"/>
          <w:szCs w:val="20"/>
        </w:rPr>
        <w:t>Accertamento esecutivo e rateazione</w:t>
      </w:r>
      <w:bookmarkEnd w:id="9"/>
      <w:bookmarkEnd w:id="10"/>
      <w:bookmarkEnd w:id="11"/>
    </w:p>
    <w:p w:rsidR="004A024A" w:rsidRPr="00766712" w:rsidRDefault="004A024A" w:rsidP="004A024A">
      <w:pPr>
        <w:numPr>
          <w:ilvl w:val="0"/>
          <w:numId w:val="30"/>
        </w:numPr>
        <w:jc w:val="both"/>
        <w:rPr>
          <w:rFonts w:ascii="Arial" w:hAnsi="Arial" w:cs="Arial"/>
          <w:sz w:val="20"/>
          <w:szCs w:val="20"/>
        </w:rPr>
      </w:pPr>
      <w:r w:rsidRPr="00766712">
        <w:rPr>
          <w:rFonts w:ascii="Arial" w:hAnsi="Arial" w:cs="Arial"/>
          <w:sz w:val="20"/>
          <w:szCs w:val="20"/>
        </w:rPr>
        <w:t>L’attività di controllo è effettuata secondo le modalità disciplinate dalla legge n. 296 del 2006 e dalla legge n. 160 del 2019.</w:t>
      </w:r>
    </w:p>
    <w:p w:rsidR="004A024A" w:rsidRPr="00766712" w:rsidRDefault="004A024A" w:rsidP="004A024A">
      <w:pPr>
        <w:numPr>
          <w:ilvl w:val="0"/>
          <w:numId w:val="30"/>
        </w:numPr>
        <w:jc w:val="both"/>
        <w:rPr>
          <w:rFonts w:ascii="Arial" w:hAnsi="Arial" w:cs="Arial"/>
          <w:sz w:val="20"/>
          <w:szCs w:val="20"/>
        </w:rPr>
      </w:pPr>
      <w:r w:rsidRPr="00766712">
        <w:rPr>
          <w:rFonts w:ascii="Arial" w:hAnsi="Arial" w:cs="Arial"/>
          <w:sz w:val="20"/>
          <w:szCs w:val="20"/>
        </w:rPr>
        <w:t>Nell'attività di recupero non si dà luogo ad emissione dell’avviso di accertamento esecutivo quando l’importo dello stesso, per imposta, sanzione ed interessi, non supera euro 12,00.</w:t>
      </w:r>
    </w:p>
    <w:p w:rsidR="004A024A" w:rsidRPr="00766712" w:rsidRDefault="004A024A" w:rsidP="004A024A">
      <w:pPr>
        <w:numPr>
          <w:ilvl w:val="0"/>
          <w:numId w:val="30"/>
        </w:numPr>
        <w:jc w:val="both"/>
        <w:rPr>
          <w:rFonts w:ascii="Arial" w:hAnsi="Arial" w:cs="Arial"/>
          <w:sz w:val="20"/>
          <w:szCs w:val="20"/>
        </w:rPr>
      </w:pPr>
      <w:r w:rsidRPr="00766712">
        <w:rPr>
          <w:rFonts w:ascii="Arial" w:hAnsi="Arial" w:cs="Arial"/>
          <w:sz w:val="20"/>
          <w:szCs w:val="20"/>
        </w:rPr>
        <w:t>Il Comune, o il soggetto affidatario che decorso il termine ultimo per il pagamento procederà alla riscossione, concede, su richiesta del contribuente che versi in una situazione di temporanea ed obiettiva difficoltà, la ripartizione del pagamento delle somme dovute secondo le condizioni e le modalità stabilite nel regolamento comunale per la riscossione coattiva</w:t>
      </w:r>
    </w:p>
    <w:p w:rsidR="004A024A" w:rsidRDefault="004A024A" w:rsidP="004A024A">
      <w:pPr>
        <w:pStyle w:val="Titolo1"/>
        <w:rPr>
          <w:rFonts w:ascii="Bookman Old Style" w:hAnsi="Bookman Old Style"/>
          <w:sz w:val="22"/>
          <w:szCs w:val="22"/>
        </w:rPr>
      </w:pPr>
    </w:p>
    <w:p w:rsidR="00312AD3" w:rsidRPr="00B25D57" w:rsidRDefault="00414F14" w:rsidP="00312AD3">
      <w:pPr>
        <w:pStyle w:val="Titolo2"/>
        <w:autoSpaceDE w:val="0"/>
        <w:autoSpaceDN w:val="0"/>
        <w:adjustRightInd w:val="0"/>
        <w:spacing w:before="240" w:after="240"/>
        <w:jc w:val="left"/>
        <w:rPr>
          <w:color w:val="0070C0"/>
          <w:sz w:val="20"/>
          <w:szCs w:val="20"/>
        </w:rPr>
      </w:pPr>
      <w:r w:rsidRPr="00B25D57">
        <w:rPr>
          <w:color w:val="0070C0"/>
          <w:sz w:val="20"/>
          <w:szCs w:val="20"/>
        </w:rPr>
        <w:t xml:space="preserve">Art. </w:t>
      </w:r>
      <w:r w:rsidR="00C7078F" w:rsidRPr="00B25D57">
        <w:rPr>
          <w:color w:val="0070C0"/>
          <w:sz w:val="20"/>
          <w:szCs w:val="20"/>
        </w:rPr>
        <w:t>1</w:t>
      </w:r>
      <w:r w:rsidR="003E5F81" w:rsidRPr="00B25D57">
        <w:rPr>
          <w:color w:val="0070C0"/>
          <w:sz w:val="20"/>
          <w:szCs w:val="20"/>
        </w:rPr>
        <w:t>0</w:t>
      </w:r>
      <w:r w:rsidRPr="00B25D57">
        <w:rPr>
          <w:color w:val="0070C0"/>
          <w:sz w:val="20"/>
          <w:szCs w:val="20"/>
        </w:rPr>
        <w:t xml:space="preserve"> – Gestione del tributo</w:t>
      </w:r>
    </w:p>
    <w:p w:rsidR="00312AD3" w:rsidRDefault="00414F14" w:rsidP="00312AD3">
      <w:pPr>
        <w:pStyle w:val="Titolo2"/>
        <w:numPr>
          <w:ilvl w:val="1"/>
          <w:numId w:val="22"/>
        </w:numPr>
        <w:autoSpaceDE w:val="0"/>
        <w:autoSpaceDN w:val="0"/>
        <w:adjustRightInd w:val="0"/>
        <w:spacing w:before="240" w:after="240"/>
        <w:ind w:left="426" w:hanging="426"/>
        <w:rPr>
          <w:b w:val="0"/>
          <w:bCs w:val="0"/>
          <w:sz w:val="20"/>
          <w:szCs w:val="20"/>
        </w:rPr>
      </w:pPr>
      <w:r w:rsidRPr="00312AD3">
        <w:rPr>
          <w:b w:val="0"/>
          <w:bCs w:val="0"/>
          <w:sz w:val="20"/>
          <w:szCs w:val="20"/>
        </w:rPr>
        <w:t>Il Funzionario responsabile dell’imposta è designato con deliberazione della Giunta Comunale tra i dipendenti dell’ente in possesso di idonea professionalità.</w:t>
      </w:r>
    </w:p>
    <w:p w:rsidR="00414F14" w:rsidRPr="00312AD3" w:rsidRDefault="00414F14" w:rsidP="00312AD3">
      <w:pPr>
        <w:pStyle w:val="Titolo2"/>
        <w:numPr>
          <w:ilvl w:val="1"/>
          <w:numId w:val="22"/>
        </w:numPr>
        <w:autoSpaceDE w:val="0"/>
        <w:autoSpaceDN w:val="0"/>
        <w:adjustRightInd w:val="0"/>
        <w:spacing w:before="240" w:after="240"/>
        <w:ind w:left="426" w:hanging="426"/>
        <w:rPr>
          <w:b w:val="0"/>
          <w:bCs w:val="0"/>
          <w:sz w:val="20"/>
          <w:szCs w:val="20"/>
        </w:rPr>
      </w:pPr>
      <w:r w:rsidRPr="00312AD3">
        <w:rPr>
          <w:b w:val="0"/>
          <w:bCs w:val="0"/>
          <w:sz w:val="20"/>
          <w:szCs w:val="20"/>
        </w:rPr>
        <w:t>Nell’esercizio dei poteri attribuiti a norma dell’art. 1, comma 778 della Legge 27 dicembre 2019, n. 160, il Funzionario responsabile dell’imposta gestisce le funzioni ed organizza le attività dell’Ufficio in modo che queste siano orientate al conseguimento delle seguenti finalità:</w:t>
      </w:r>
    </w:p>
    <w:p w:rsidR="00414F14" w:rsidRPr="00434F29" w:rsidRDefault="00414F14" w:rsidP="00312AD3">
      <w:pPr>
        <w:pStyle w:val="Corpotesto"/>
        <w:numPr>
          <w:ilvl w:val="2"/>
          <w:numId w:val="23"/>
        </w:numPr>
        <w:tabs>
          <w:tab w:val="clear" w:pos="2340"/>
        </w:tabs>
        <w:spacing w:before="120" w:after="120"/>
        <w:ind w:left="851" w:hanging="284"/>
        <w:rPr>
          <w:sz w:val="20"/>
          <w:szCs w:val="20"/>
        </w:rPr>
      </w:pPr>
      <w:r w:rsidRPr="00434F29">
        <w:rPr>
          <w:sz w:val="20"/>
          <w:szCs w:val="20"/>
        </w:rPr>
        <w:t>supportare i contribuenti al fine di favorire l'assolvimento spontaneo degli adempimenti tributari ed il corretto versamento delle imposte dovute, facilitando l’accesso da parte dei cittadini, lo sviluppo di azioni di semplificazione delle procedure e di informazione/consulenza ai contribuenti per gli adempimenti;</w:t>
      </w:r>
    </w:p>
    <w:p w:rsidR="00414F14" w:rsidRPr="00434F29" w:rsidRDefault="00414F14" w:rsidP="00312AD3">
      <w:pPr>
        <w:pStyle w:val="Corpotesto"/>
        <w:numPr>
          <w:ilvl w:val="2"/>
          <w:numId w:val="23"/>
        </w:numPr>
        <w:tabs>
          <w:tab w:val="clear" w:pos="2340"/>
        </w:tabs>
        <w:spacing w:before="120" w:after="120"/>
        <w:ind w:left="851" w:hanging="284"/>
        <w:rPr>
          <w:sz w:val="20"/>
          <w:szCs w:val="20"/>
        </w:rPr>
      </w:pPr>
      <w:r w:rsidRPr="00434F29">
        <w:rPr>
          <w:sz w:val="20"/>
          <w:szCs w:val="20"/>
        </w:rPr>
        <w:t xml:space="preserve">promuovere la </w:t>
      </w:r>
      <w:r w:rsidRPr="00434F29">
        <w:rPr>
          <w:i/>
          <w:iCs/>
          <w:sz w:val="20"/>
          <w:szCs w:val="20"/>
        </w:rPr>
        <w:t>compliance</w:t>
      </w:r>
      <w:r w:rsidRPr="00434F29">
        <w:rPr>
          <w:sz w:val="20"/>
          <w:szCs w:val="20"/>
        </w:rPr>
        <w:t xml:space="preserve"> fiscale attraverso il miglioramento del rapporto Ufficio-contribuente, favorendo un rapporto di cooperazione e collaborazione reciproca, incentivando l’assolvimento spontaneo degli obblighi tributari e l’emersione spontanea delle basi imponibili, anche attraverso l’impiego degli strumenti deflativi del contenzioso tributario quali l’interpello, il ravvedimento operoso, l’autotutela</w:t>
      </w:r>
      <w:r w:rsidR="00AF06E4">
        <w:rPr>
          <w:sz w:val="20"/>
          <w:szCs w:val="20"/>
        </w:rPr>
        <w:t xml:space="preserve">, </w:t>
      </w:r>
      <w:r w:rsidRPr="00434F29">
        <w:rPr>
          <w:sz w:val="20"/>
          <w:szCs w:val="20"/>
        </w:rPr>
        <w:t>la mediazione e la conciliazione tributaria;</w:t>
      </w:r>
    </w:p>
    <w:p w:rsidR="00312AD3" w:rsidRDefault="00414F14" w:rsidP="00312AD3">
      <w:pPr>
        <w:pStyle w:val="Corpotesto"/>
        <w:numPr>
          <w:ilvl w:val="2"/>
          <w:numId w:val="23"/>
        </w:numPr>
        <w:tabs>
          <w:tab w:val="clear" w:pos="2340"/>
        </w:tabs>
        <w:spacing w:before="120" w:after="120"/>
        <w:ind w:left="851" w:hanging="284"/>
        <w:rPr>
          <w:sz w:val="20"/>
          <w:szCs w:val="20"/>
        </w:rPr>
      </w:pPr>
      <w:r w:rsidRPr="00434F29">
        <w:rPr>
          <w:sz w:val="20"/>
          <w:szCs w:val="20"/>
        </w:rPr>
        <w:t xml:space="preserve">perseguire l’equità nell’esercizio della funzione impositiva attraverso un’assidua attività di contrasto all’evasione </w:t>
      </w:r>
      <w:proofErr w:type="spellStart"/>
      <w:r w:rsidRPr="00434F29">
        <w:rPr>
          <w:sz w:val="20"/>
          <w:szCs w:val="20"/>
        </w:rPr>
        <w:t>ed</w:t>
      </w:r>
      <w:proofErr w:type="spellEnd"/>
      <w:r w:rsidRPr="00434F29">
        <w:rPr>
          <w:sz w:val="20"/>
          <w:szCs w:val="20"/>
        </w:rPr>
        <w:t xml:space="preserve"> all’elusione fiscale, consolidando l'azione di recupero sugli omessi versamenti e sviluppando strategie di individuazione delle basi imponibili occultate o dichiarate in modo infedele.</w:t>
      </w:r>
    </w:p>
    <w:p w:rsidR="00414F14" w:rsidRDefault="00414F14" w:rsidP="00312AD3">
      <w:pPr>
        <w:pStyle w:val="Corpotesto"/>
        <w:numPr>
          <w:ilvl w:val="3"/>
          <w:numId w:val="23"/>
        </w:numPr>
        <w:spacing w:before="120" w:after="120"/>
        <w:ind w:left="426" w:hanging="284"/>
        <w:rPr>
          <w:sz w:val="20"/>
          <w:szCs w:val="20"/>
        </w:rPr>
      </w:pPr>
      <w:r w:rsidRPr="00312AD3">
        <w:rPr>
          <w:sz w:val="20"/>
          <w:szCs w:val="20"/>
        </w:rPr>
        <w:t>Ai fini di cui al comma precedente, il Funzionario cura la collaborazione con altre amministrazioni al fine di sviluppare i collegamenti con i sistemi informativi e le banche dati rilevanti per la lotta all'evasione e favorisce lo sviluppo delle potenzialità della struttura organizzativa, proponendo le soluzioni utili ad aumentare l’efficacia e l’efficienza dell’ufficio, anche attraverso i sistemi di incentivazione del personale di cui al Regolamento emanato ai sensi dell’art. 1, comma 1091 della L. 30 dicembre 2018, n. 145.</w:t>
      </w:r>
    </w:p>
    <w:p w:rsidR="00CD76C3" w:rsidRPr="00B25D57" w:rsidRDefault="00CD76C3" w:rsidP="00C7078F">
      <w:pPr>
        <w:pStyle w:val="Titolo2"/>
        <w:autoSpaceDE w:val="0"/>
        <w:autoSpaceDN w:val="0"/>
        <w:adjustRightInd w:val="0"/>
        <w:spacing w:before="240" w:after="240"/>
        <w:jc w:val="left"/>
        <w:rPr>
          <w:color w:val="0070C0"/>
          <w:sz w:val="20"/>
          <w:szCs w:val="20"/>
        </w:rPr>
      </w:pPr>
    </w:p>
    <w:p w:rsidR="00C7078F" w:rsidRPr="00C7078F" w:rsidRDefault="00C7078F" w:rsidP="00C7078F">
      <w:pPr>
        <w:pStyle w:val="Titolo2"/>
        <w:autoSpaceDE w:val="0"/>
        <w:autoSpaceDN w:val="0"/>
        <w:adjustRightInd w:val="0"/>
        <w:spacing w:before="240" w:after="240"/>
        <w:jc w:val="left"/>
        <w:rPr>
          <w:sz w:val="20"/>
          <w:szCs w:val="20"/>
        </w:rPr>
      </w:pPr>
      <w:bookmarkStart w:id="12" w:name="_Toc8712182"/>
      <w:bookmarkStart w:id="13" w:name="_Toc34662180"/>
      <w:bookmarkStart w:id="14" w:name="_Toc314411949"/>
      <w:r w:rsidRPr="00B25D57">
        <w:rPr>
          <w:color w:val="0070C0"/>
          <w:sz w:val="20"/>
          <w:szCs w:val="20"/>
        </w:rPr>
        <w:t>Articolo 1</w:t>
      </w:r>
      <w:bookmarkEnd w:id="12"/>
      <w:r w:rsidR="003E5F81" w:rsidRPr="00B25D57">
        <w:rPr>
          <w:color w:val="0070C0"/>
          <w:sz w:val="20"/>
          <w:szCs w:val="20"/>
        </w:rPr>
        <w:t>1</w:t>
      </w:r>
      <w:r w:rsidRPr="00B25D57">
        <w:rPr>
          <w:color w:val="0070C0"/>
          <w:sz w:val="20"/>
          <w:szCs w:val="20"/>
        </w:rPr>
        <w:t xml:space="preserve">- </w:t>
      </w:r>
      <w:bookmarkStart w:id="15" w:name="_Toc8712183"/>
      <w:r w:rsidRPr="00B25D57">
        <w:rPr>
          <w:color w:val="0070C0"/>
          <w:sz w:val="20"/>
          <w:szCs w:val="20"/>
        </w:rPr>
        <w:t>Entrata in vigore del regolamento</w:t>
      </w:r>
      <w:bookmarkEnd w:id="13"/>
      <w:bookmarkEnd w:id="14"/>
      <w:bookmarkEnd w:id="15"/>
    </w:p>
    <w:p w:rsidR="00C7078F" w:rsidRPr="00C7078F" w:rsidRDefault="00C7078F" w:rsidP="00AF06E4">
      <w:pPr>
        <w:numPr>
          <w:ilvl w:val="3"/>
          <w:numId w:val="28"/>
        </w:numPr>
        <w:ind w:left="567" w:hanging="567"/>
        <w:jc w:val="both"/>
        <w:rPr>
          <w:rFonts w:ascii="Arial" w:hAnsi="Arial" w:cs="Arial"/>
          <w:sz w:val="20"/>
          <w:szCs w:val="20"/>
        </w:rPr>
      </w:pPr>
      <w:r w:rsidRPr="00C7078F">
        <w:rPr>
          <w:rFonts w:ascii="Arial" w:hAnsi="Arial" w:cs="Arial"/>
          <w:sz w:val="20"/>
          <w:szCs w:val="20"/>
        </w:rPr>
        <w:t xml:space="preserve">Il presente regolamento entra in vigore a decorrere dal 1° gennaio 2020. </w:t>
      </w:r>
    </w:p>
    <w:p w:rsidR="00C7078F" w:rsidRPr="00C7078F" w:rsidRDefault="00C7078F" w:rsidP="00AF06E4">
      <w:pPr>
        <w:numPr>
          <w:ilvl w:val="3"/>
          <w:numId w:val="28"/>
        </w:numPr>
        <w:ind w:left="567" w:hanging="567"/>
        <w:jc w:val="both"/>
        <w:rPr>
          <w:rFonts w:ascii="Arial" w:hAnsi="Arial" w:cs="Arial"/>
          <w:sz w:val="20"/>
          <w:szCs w:val="20"/>
        </w:rPr>
      </w:pPr>
      <w:r w:rsidRPr="00C7078F">
        <w:rPr>
          <w:rFonts w:ascii="Arial" w:hAnsi="Arial" w:cs="Arial"/>
          <w:sz w:val="20"/>
          <w:szCs w:val="20"/>
        </w:rPr>
        <w:t>Il presente regolamento si adegua automaticamente alle modificazioni della normativa nazionale e comunitaria. I richiami e le citazioni di norme contenuti nel presente regolamento si devono intendere fatti al testo vigente delle norme stesse.</w:t>
      </w:r>
    </w:p>
    <w:p w:rsidR="00CD76C3" w:rsidRDefault="00CD76C3" w:rsidP="00CD76C3">
      <w:pPr>
        <w:pStyle w:val="Corpotesto"/>
        <w:spacing w:before="120" w:after="120"/>
        <w:rPr>
          <w:sz w:val="20"/>
          <w:szCs w:val="20"/>
        </w:rPr>
      </w:pPr>
    </w:p>
    <w:p w:rsidR="00B25D57" w:rsidRDefault="00B25D57" w:rsidP="00CD76C3">
      <w:pPr>
        <w:pStyle w:val="Corpotesto"/>
        <w:spacing w:before="120" w:after="120"/>
        <w:rPr>
          <w:sz w:val="20"/>
          <w:szCs w:val="20"/>
        </w:rPr>
      </w:pPr>
    </w:p>
    <w:p w:rsidR="00B25D57" w:rsidRDefault="00B25D57" w:rsidP="00CD76C3">
      <w:pPr>
        <w:pStyle w:val="Corpotesto"/>
        <w:spacing w:before="120" w:after="120"/>
        <w:rPr>
          <w:sz w:val="20"/>
          <w:szCs w:val="20"/>
        </w:rPr>
      </w:pPr>
    </w:p>
    <w:p w:rsidR="00B25D57" w:rsidRDefault="00B25D57" w:rsidP="00CD76C3">
      <w:pPr>
        <w:pStyle w:val="Corpotesto"/>
        <w:spacing w:before="120" w:after="120"/>
        <w:rPr>
          <w:sz w:val="20"/>
          <w:szCs w:val="20"/>
        </w:rPr>
      </w:pPr>
    </w:p>
    <w:p w:rsidR="00B25D57" w:rsidRDefault="00B25D57" w:rsidP="00CD76C3">
      <w:pPr>
        <w:pStyle w:val="Corpotesto"/>
        <w:spacing w:before="120" w:after="120"/>
        <w:rPr>
          <w:sz w:val="20"/>
          <w:szCs w:val="20"/>
        </w:rPr>
      </w:pPr>
    </w:p>
    <w:p w:rsidR="00B25D57" w:rsidRDefault="00B25D57" w:rsidP="00CD76C3">
      <w:pPr>
        <w:pStyle w:val="Corpotesto"/>
        <w:spacing w:before="120" w:after="120"/>
        <w:rPr>
          <w:sz w:val="20"/>
          <w:szCs w:val="20"/>
        </w:rPr>
      </w:pPr>
    </w:p>
    <w:p w:rsidR="00B25D57" w:rsidRDefault="00B25D57" w:rsidP="00CD76C3">
      <w:pPr>
        <w:pStyle w:val="Corpotesto"/>
        <w:spacing w:before="120" w:after="120"/>
        <w:rPr>
          <w:sz w:val="20"/>
          <w:szCs w:val="20"/>
        </w:rPr>
      </w:pPr>
    </w:p>
    <w:p w:rsidR="00B25D57" w:rsidRDefault="00B25D57" w:rsidP="00CD76C3">
      <w:pPr>
        <w:pStyle w:val="Corpotesto"/>
        <w:spacing w:before="120" w:after="120"/>
        <w:rPr>
          <w:sz w:val="20"/>
          <w:szCs w:val="20"/>
        </w:rPr>
      </w:pPr>
    </w:p>
    <w:p w:rsidR="00B25D57" w:rsidRDefault="00B25D57" w:rsidP="00CD76C3">
      <w:pPr>
        <w:pStyle w:val="Corpotesto"/>
        <w:spacing w:before="120" w:after="120"/>
        <w:rPr>
          <w:sz w:val="20"/>
          <w:szCs w:val="20"/>
        </w:rPr>
      </w:pPr>
    </w:p>
    <w:p w:rsidR="00B25D57" w:rsidRDefault="00B25D57" w:rsidP="00CD76C3">
      <w:pPr>
        <w:pStyle w:val="Corpotesto"/>
        <w:spacing w:before="120" w:after="120"/>
        <w:rPr>
          <w:sz w:val="20"/>
          <w:szCs w:val="20"/>
        </w:rPr>
      </w:pPr>
    </w:p>
    <w:p w:rsidR="00B25D57" w:rsidRDefault="00B25D57" w:rsidP="00CD76C3">
      <w:pPr>
        <w:pStyle w:val="Corpotesto"/>
        <w:spacing w:before="120" w:after="120"/>
        <w:rPr>
          <w:sz w:val="20"/>
          <w:szCs w:val="20"/>
        </w:rPr>
      </w:pPr>
    </w:p>
    <w:p w:rsidR="00B25D57" w:rsidRDefault="00B25D57" w:rsidP="00CD76C3">
      <w:pPr>
        <w:pStyle w:val="Corpotesto"/>
        <w:spacing w:before="120" w:after="120"/>
        <w:rPr>
          <w:sz w:val="20"/>
          <w:szCs w:val="20"/>
        </w:rPr>
      </w:pPr>
    </w:p>
    <w:p w:rsidR="00B25D57" w:rsidRDefault="00B25D57" w:rsidP="00CD76C3">
      <w:pPr>
        <w:pStyle w:val="Corpotesto"/>
        <w:spacing w:before="120" w:after="120"/>
        <w:rPr>
          <w:sz w:val="20"/>
          <w:szCs w:val="20"/>
        </w:rPr>
      </w:pPr>
    </w:p>
    <w:p w:rsidR="00B25D57" w:rsidRDefault="00B25D57" w:rsidP="00CD76C3">
      <w:pPr>
        <w:pStyle w:val="Corpotesto"/>
        <w:spacing w:before="120" w:after="120"/>
        <w:rPr>
          <w:sz w:val="20"/>
          <w:szCs w:val="20"/>
        </w:rPr>
      </w:pPr>
    </w:p>
    <w:p w:rsidR="00B25D57" w:rsidRDefault="00B25D57" w:rsidP="00CD76C3">
      <w:pPr>
        <w:pStyle w:val="Corpotesto"/>
        <w:spacing w:before="120" w:after="120"/>
        <w:rPr>
          <w:sz w:val="20"/>
          <w:szCs w:val="20"/>
        </w:rPr>
      </w:pPr>
    </w:p>
    <w:p w:rsidR="00B25D57" w:rsidRDefault="00B25D57" w:rsidP="00CD76C3">
      <w:pPr>
        <w:pStyle w:val="Corpotesto"/>
        <w:spacing w:before="120" w:after="120"/>
        <w:rPr>
          <w:sz w:val="20"/>
          <w:szCs w:val="20"/>
        </w:rPr>
      </w:pPr>
    </w:p>
    <w:p w:rsidR="00B25D57" w:rsidRDefault="00B25D57" w:rsidP="00B25D57">
      <w:pPr>
        <w:pBdr>
          <w:top w:val="single" w:sz="6" w:space="5" w:color="auto" w:shadow="1"/>
          <w:left w:val="single" w:sz="6" w:space="5" w:color="auto" w:shadow="1"/>
          <w:bottom w:val="single" w:sz="6" w:space="5" w:color="auto" w:shadow="1"/>
          <w:right w:val="single" w:sz="6" w:space="5" w:color="auto" w:shadow="1"/>
        </w:pBdr>
        <w:tabs>
          <w:tab w:val="right" w:leader="dot" w:pos="9639"/>
        </w:tabs>
        <w:spacing w:line="480" w:lineRule="auto"/>
      </w:pPr>
    </w:p>
    <w:p w:rsidR="00B25D57" w:rsidRDefault="00B25D57" w:rsidP="00B25D57">
      <w:pPr>
        <w:pBdr>
          <w:top w:val="single" w:sz="6" w:space="5" w:color="auto" w:shadow="1"/>
          <w:left w:val="single" w:sz="6" w:space="5" w:color="auto" w:shadow="1"/>
          <w:bottom w:val="single" w:sz="6" w:space="5" w:color="auto" w:shadow="1"/>
          <w:right w:val="single" w:sz="6" w:space="5" w:color="auto" w:shadow="1"/>
        </w:pBdr>
        <w:tabs>
          <w:tab w:val="right" w:leader="dot" w:pos="9639"/>
        </w:tabs>
        <w:spacing w:line="480" w:lineRule="auto"/>
      </w:pPr>
      <w:r>
        <w:t>Il presente regolamento:</w:t>
      </w:r>
    </w:p>
    <w:p w:rsidR="00B25D57" w:rsidRDefault="00B25D57" w:rsidP="00B25D57">
      <w:pPr>
        <w:numPr>
          <w:ilvl w:val="0"/>
          <w:numId w:val="31"/>
        </w:numPr>
        <w:pBdr>
          <w:top w:val="single" w:sz="6" w:space="5" w:color="auto" w:shadow="1"/>
          <w:left w:val="single" w:sz="6" w:space="5" w:color="auto" w:shadow="1"/>
          <w:bottom w:val="single" w:sz="6" w:space="5" w:color="auto" w:shadow="1"/>
          <w:right w:val="single" w:sz="6" w:space="5" w:color="auto" w:shadow="1"/>
        </w:pBdr>
        <w:tabs>
          <w:tab w:val="right" w:leader="dot" w:pos="9639"/>
        </w:tabs>
        <w:spacing w:line="480" w:lineRule="auto"/>
        <w:jc w:val="both"/>
      </w:pPr>
      <w:r>
        <w:t>È stato deliberato dal Consiglio Comunale nella seduta del ______________ con atto N.</w:t>
      </w:r>
      <w:r>
        <w:rPr>
          <w:u w:val="single"/>
        </w:rPr>
        <w:t xml:space="preserve"> </w:t>
      </w:r>
      <w:r>
        <w:t xml:space="preserve">______________, </w:t>
      </w:r>
    </w:p>
    <w:p w:rsidR="00B25D57" w:rsidRDefault="00B25D57" w:rsidP="00B25D57">
      <w:pPr>
        <w:numPr>
          <w:ilvl w:val="0"/>
          <w:numId w:val="31"/>
        </w:numPr>
        <w:pBdr>
          <w:top w:val="single" w:sz="6" w:space="5" w:color="auto" w:shadow="1"/>
          <w:left w:val="single" w:sz="6" w:space="5" w:color="auto" w:shadow="1"/>
          <w:bottom w:val="single" w:sz="6" w:space="5" w:color="auto" w:shadow="1"/>
          <w:right w:val="single" w:sz="6" w:space="5" w:color="auto" w:shadow="1"/>
        </w:pBdr>
        <w:tabs>
          <w:tab w:val="right" w:leader="dot" w:pos="9639"/>
        </w:tabs>
        <w:spacing w:line="480" w:lineRule="auto"/>
        <w:jc w:val="both"/>
      </w:pPr>
      <w:r>
        <w:t>È stato pubblicato all’Albo Pretorio comunale per quindici giorni consecutivi dal ______________ al ______________;</w:t>
      </w:r>
    </w:p>
    <w:p w:rsidR="00B25D57" w:rsidRDefault="00B25D57" w:rsidP="00B25D57">
      <w:pPr>
        <w:numPr>
          <w:ilvl w:val="0"/>
          <w:numId w:val="31"/>
        </w:numPr>
        <w:pBdr>
          <w:top w:val="single" w:sz="6" w:space="5" w:color="auto" w:shadow="1"/>
          <w:left w:val="single" w:sz="6" w:space="5" w:color="auto" w:shadow="1"/>
          <w:bottom w:val="single" w:sz="6" w:space="5" w:color="auto" w:shadow="1"/>
          <w:right w:val="single" w:sz="6" w:space="5" w:color="auto" w:shadow="1"/>
        </w:pBdr>
        <w:tabs>
          <w:tab w:val="right" w:leader="dot" w:pos="9639"/>
        </w:tabs>
        <w:spacing w:line="480" w:lineRule="auto"/>
        <w:jc w:val="both"/>
      </w:pPr>
      <w:r>
        <w:t>È stato ripubblicato all’Albo Pretorio comunale, per quindici giorni consecutivi dal ______________ al ______________;</w:t>
      </w:r>
    </w:p>
    <w:p w:rsidR="00B25D57" w:rsidRDefault="00B25D57" w:rsidP="00B25D57">
      <w:pPr>
        <w:numPr>
          <w:ilvl w:val="0"/>
          <w:numId w:val="31"/>
        </w:numPr>
        <w:pBdr>
          <w:top w:val="single" w:sz="6" w:space="5" w:color="auto" w:shadow="1"/>
          <w:left w:val="single" w:sz="6" w:space="5" w:color="auto" w:shadow="1"/>
          <w:bottom w:val="single" w:sz="6" w:space="5" w:color="auto" w:shadow="1"/>
          <w:right w:val="single" w:sz="6" w:space="5" w:color="auto" w:shadow="1"/>
        </w:pBdr>
        <w:tabs>
          <w:tab w:val="right" w:leader="dot" w:pos="9639"/>
        </w:tabs>
        <w:spacing w:line="480" w:lineRule="auto"/>
        <w:jc w:val="both"/>
      </w:pPr>
      <w:r>
        <w:t>È entrato in vigore il _______________________;</w:t>
      </w:r>
    </w:p>
    <w:p w:rsidR="00B25D57" w:rsidRDefault="00B25D57" w:rsidP="00B25D57">
      <w:pPr>
        <w:pBdr>
          <w:top w:val="single" w:sz="6" w:space="5" w:color="auto" w:shadow="1"/>
          <w:left w:val="single" w:sz="6" w:space="5" w:color="auto" w:shadow="1"/>
          <w:bottom w:val="single" w:sz="6" w:space="5" w:color="auto" w:shadow="1"/>
          <w:right w:val="single" w:sz="6" w:space="5" w:color="auto" w:shadow="1"/>
        </w:pBdr>
        <w:tabs>
          <w:tab w:val="right" w:leader="dot" w:pos="9639"/>
        </w:tabs>
        <w:spacing w:line="480" w:lineRule="auto"/>
        <w:rPr>
          <w:i/>
          <w:iCs/>
        </w:rPr>
      </w:pPr>
      <w:r>
        <w:rPr>
          <w:i/>
          <w:iCs/>
        </w:rPr>
        <w:t>Data _______________________</w:t>
      </w:r>
    </w:p>
    <w:p w:rsidR="00B25D57" w:rsidRDefault="00B25D57" w:rsidP="00B25D57">
      <w:pPr>
        <w:pBdr>
          <w:top w:val="single" w:sz="6" w:space="5" w:color="auto" w:shadow="1"/>
          <w:left w:val="single" w:sz="6" w:space="5" w:color="auto" w:shadow="1"/>
          <w:bottom w:val="single" w:sz="6" w:space="5" w:color="auto" w:shadow="1"/>
          <w:right w:val="single" w:sz="6" w:space="5" w:color="auto" w:shadow="1"/>
        </w:pBdr>
        <w:tabs>
          <w:tab w:val="right" w:leader="dot" w:pos="9639"/>
        </w:tabs>
        <w:spacing w:line="480" w:lineRule="auto"/>
        <w:rPr>
          <w:i/>
          <w:iCs/>
        </w:rPr>
      </w:pPr>
    </w:p>
    <w:p w:rsidR="00B25D57" w:rsidRDefault="00B25D57" w:rsidP="00B25D57">
      <w:pPr>
        <w:pBdr>
          <w:top w:val="single" w:sz="6" w:space="5" w:color="auto" w:shadow="1"/>
          <w:left w:val="single" w:sz="6" w:space="5" w:color="auto" w:shadow="1"/>
          <w:bottom w:val="single" w:sz="6" w:space="5" w:color="auto" w:shadow="1"/>
          <w:right w:val="single" w:sz="6" w:space="5" w:color="auto" w:shadow="1"/>
        </w:pBdr>
        <w:tabs>
          <w:tab w:val="center" w:pos="6521"/>
          <w:tab w:val="right" w:leader="dot" w:pos="9639"/>
        </w:tabs>
        <w:spacing w:line="480" w:lineRule="auto"/>
      </w:pPr>
      <w:r>
        <w:rPr>
          <w:b/>
          <w:bCs/>
        </w:rPr>
        <w:tab/>
        <w:t>Il Segretario Comunale</w:t>
      </w:r>
    </w:p>
    <w:p w:rsidR="00B25D57" w:rsidRDefault="00B25D57" w:rsidP="00B25D57">
      <w:pPr>
        <w:pBdr>
          <w:top w:val="single" w:sz="6" w:space="5" w:color="auto" w:shadow="1"/>
          <w:left w:val="single" w:sz="6" w:space="5" w:color="auto" w:shadow="1"/>
          <w:bottom w:val="single" w:sz="6" w:space="5" w:color="auto" w:shadow="1"/>
          <w:right w:val="single" w:sz="6" w:space="5" w:color="auto" w:shadow="1"/>
        </w:pBdr>
        <w:tabs>
          <w:tab w:val="center" w:pos="6521"/>
          <w:tab w:val="right" w:leader="dot" w:pos="9639"/>
        </w:tabs>
        <w:spacing w:line="480" w:lineRule="auto"/>
      </w:pPr>
      <w:r>
        <w:tab/>
      </w:r>
    </w:p>
    <w:p w:rsidR="00B25D57" w:rsidRDefault="00B25D57" w:rsidP="00B25D57">
      <w:pPr>
        <w:pBdr>
          <w:top w:val="single" w:sz="6" w:space="5" w:color="auto" w:shadow="1"/>
          <w:left w:val="single" w:sz="6" w:space="5" w:color="auto" w:shadow="1"/>
          <w:bottom w:val="single" w:sz="6" w:space="5" w:color="auto" w:shadow="1"/>
          <w:right w:val="single" w:sz="6" w:space="5" w:color="auto" w:shadow="1"/>
        </w:pBdr>
        <w:tabs>
          <w:tab w:val="center" w:pos="6521"/>
          <w:tab w:val="right" w:leader="dot" w:pos="9639"/>
        </w:tabs>
        <w:spacing w:line="480" w:lineRule="auto"/>
      </w:pPr>
      <w:r>
        <w:tab/>
        <w:t>______________________________</w:t>
      </w:r>
    </w:p>
    <w:p w:rsidR="00B25D57" w:rsidRDefault="00B25D57" w:rsidP="00B25D57">
      <w:pPr>
        <w:ind w:firstLine="708"/>
        <w:jc w:val="both"/>
        <w:rPr>
          <w:sz w:val="22"/>
          <w:szCs w:val="22"/>
        </w:rPr>
      </w:pPr>
    </w:p>
    <w:p w:rsidR="00B25D57" w:rsidRDefault="00B25D57" w:rsidP="00B25D57"/>
    <w:p w:rsidR="00B25D57" w:rsidRPr="00312AD3" w:rsidRDefault="00B25D57" w:rsidP="00CD76C3">
      <w:pPr>
        <w:pStyle w:val="Corpotesto"/>
        <w:spacing w:before="120" w:after="120"/>
        <w:rPr>
          <w:sz w:val="20"/>
          <w:szCs w:val="20"/>
        </w:rPr>
      </w:pPr>
    </w:p>
    <w:sectPr w:rsidR="00B25D57" w:rsidRPr="00312AD3" w:rsidSect="00B73EC9">
      <w:footerReference w:type="default" r:id="rId7"/>
      <w:footerReference w:type="first" r:id="rId8"/>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A64" w:rsidRDefault="000A0A64" w:rsidP="00B73EC9">
      <w:r>
        <w:separator/>
      </w:r>
    </w:p>
  </w:endnote>
  <w:endnote w:type="continuationSeparator" w:id="0">
    <w:p w:rsidR="000A0A64" w:rsidRDefault="000A0A64" w:rsidP="00B7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Antiqua-Bol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839" w:rsidRPr="00B40839" w:rsidRDefault="00B40839" w:rsidP="00B40839">
    <w:pPr>
      <w:jc w:val="right"/>
      <w:rPr>
        <w:rFonts w:ascii="Arial" w:hAnsi="Arial" w:cs="Arial"/>
        <w:sz w:val="10"/>
        <w:szCs w:val="10"/>
      </w:rPr>
    </w:pPr>
    <w:bookmarkStart w:id="16" w:name="_Hlk479843000"/>
    <w:r w:rsidRPr="00B40839">
      <w:rPr>
        <w:rFonts w:ascii="Arial" w:hAnsi="Arial" w:cs="Arial"/>
        <w:sz w:val="10"/>
        <w:szCs w:val="10"/>
      </w:rPr>
      <w:t xml:space="preserve">Pag. </w:t>
    </w:r>
    <w:r w:rsidRPr="00B40839">
      <w:rPr>
        <w:rFonts w:ascii="Arial" w:hAnsi="Arial" w:cs="Arial"/>
        <w:sz w:val="10"/>
        <w:szCs w:val="10"/>
      </w:rPr>
      <w:fldChar w:fldCharType="begin"/>
    </w:r>
    <w:r w:rsidRPr="00B40839">
      <w:rPr>
        <w:rFonts w:ascii="Arial" w:hAnsi="Arial" w:cs="Arial"/>
        <w:sz w:val="10"/>
        <w:szCs w:val="10"/>
      </w:rPr>
      <w:instrText xml:space="preserve"> PAGE </w:instrText>
    </w:r>
    <w:r w:rsidRPr="00B40839">
      <w:rPr>
        <w:rFonts w:ascii="Arial" w:hAnsi="Arial" w:cs="Arial"/>
        <w:sz w:val="10"/>
        <w:szCs w:val="10"/>
      </w:rPr>
      <w:fldChar w:fldCharType="separate"/>
    </w:r>
    <w:r w:rsidRPr="00B40839">
      <w:rPr>
        <w:rFonts w:ascii="Arial" w:hAnsi="Arial" w:cs="Arial"/>
        <w:sz w:val="10"/>
        <w:szCs w:val="10"/>
      </w:rPr>
      <w:t>1</w:t>
    </w:r>
    <w:r w:rsidRPr="00B40839">
      <w:rPr>
        <w:rFonts w:ascii="Arial" w:hAnsi="Arial" w:cs="Arial"/>
        <w:sz w:val="10"/>
        <w:szCs w:val="10"/>
      </w:rPr>
      <w:fldChar w:fldCharType="end"/>
    </w:r>
    <w:r w:rsidRPr="00B40839">
      <w:rPr>
        <w:rFonts w:ascii="Arial" w:hAnsi="Arial" w:cs="Arial"/>
        <w:sz w:val="10"/>
        <w:szCs w:val="10"/>
      </w:rPr>
      <w:t xml:space="preserve"> di </w:t>
    </w:r>
    <w:r w:rsidRPr="00B40839">
      <w:rPr>
        <w:rFonts w:ascii="Arial" w:hAnsi="Arial" w:cs="Arial"/>
        <w:bCs/>
        <w:sz w:val="10"/>
        <w:szCs w:val="10"/>
      </w:rPr>
      <w:fldChar w:fldCharType="begin"/>
    </w:r>
    <w:r w:rsidRPr="00B40839">
      <w:rPr>
        <w:rFonts w:ascii="Arial" w:hAnsi="Arial" w:cs="Arial"/>
        <w:bCs/>
        <w:sz w:val="10"/>
        <w:szCs w:val="10"/>
      </w:rPr>
      <w:instrText xml:space="preserve"> NUMPAGES </w:instrText>
    </w:r>
    <w:r w:rsidRPr="00B40839">
      <w:rPr>
        <w:rFonts w:ascii="Arial" w:hAnsi="Arial" w:cs="Arial"/>
        <w:bCs/>
        <w:sz w:val="10"/>
        <w:szCs w:val="10"/>
      </w:rPr>
      <w:fldChar w:fldCharType="separate"/>
    </w:r>
    <w:r w:rsidRPr="00B40839">
      <w:rPr>
        <w:rFonts w:ascii="Arial" w:hAnsi="Arial" w:cs="Arial"/>
        <w:bCs/>
        <w:sz w:val="10"/>
        <w:szCs w:val="10"/>
      </w:rPr>
      <w:t>3</w:t>
    </w:r>
    <w:r w:rsidRPr="00B40839">
      <w:rPr>
        <w:rFonts w:ascii="Arial" w:hAnsi="Arial" w:cs="Arial"/>
        <w:bCs/>
        <w:sz w:val="10"/>
        <w:szCs w:val="10"/>
      </w:rPr>
      <w:fldChar w:fldCharType="end"/>
    </w:r>
  </w:p>
  <w:bookmarkEnd w:id="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EC9" w:rsidRPr="00B73EC9" w:rsidRDefault="00B73EC9" w:rsidP="00B73EC9">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A64" w:rsidRDefault="000A0A64" w:rsidP="00B73EC9">
      <w:r>
        <w:separator/>
      </w:r>
    </w:p>
  </w:footnote>
  <w:footnote w:type="continuationSeparator" w:id="0">
    <w:p w:rsidR="000A0A64" w:rsidRDefault="000A0A64" w:rsidP="00B73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3648"/>
    <w:multiLevelType w:val="hybridMultilevel"/>
    <w:tmpl w:val="2DD0F722"/>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ACF5E6B"/>
    <w:multiLevelType w:val="hybridMultilevel"/>
    <w:tmpl w:val="F206944C"/>
    <w:lvl w:ilvl="0" w:tplc="0410000F">
      <w:start w:val="1"/>
      <w:numFmt w:val="decimal"/>
      <w:lvlText w:val="%1."/>
      <w:lvlJc w:val="left"/>
      <w:pPr>
        <w:tabs>
          <w:tab w:val="num" w:pos="720"/>
        </w:tabs>
        <w:ind w:left="720" w:hanging="360"/>
      </w:pPr>
    </w:lvl>
    <w:lvl w:ilvl="1" w:tplc="45AC5916">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914997"/>
    <w:multiLevelType w:val="hybridMultilevel"/>
    <w:tmpl w:val="CF50B43E"/>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15:restartNumberingAfterBreak="0">
    <w:nsid w:val="0DBE5E49"/>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12515C11"/>
    <w:multiLevelType w:val="multilevel"/>
    <w:tmpl w:val="ACACE3C2"/>
    <w:lvl w:ilvl="0">
      <w:start w:val="6"/>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A27C8C"/>
    <w:multiLevelType w:val="hybridMultilevel"/>
    <w:tmpl w:val="3A7E449E"/>
    <w:lvl w:ilvl="0" w:tplc="0410000F">
      <w:start w:val="1"/>
      <w:numFmt w:val="decimal"/>
      <w:lvlText w:val="%1."/>
      <w:lvlJc w:val="left"/>
      <w:pPr>
        <w:tabs>
          <w:tab w:val="num" w:pos="720"/>
        </w:tabs>
        <w:ind w:left="720" w:hanging="360"/>
      </w:pPr>
      <w:rPr>
        <w:rFonts w:hint="default"/>
      </w:rPr>
    </w:lvl>
    <w:lvl w:ilvl="1" w:tplc="32DCAEE0">
      <w:numFmt w:val="bullet"/>
      <w:lvlText w:val="-"/>
      <w:lvlJc w:val="left"/>
      <w:pPr>
        <w:tabs>
          <w:tab w:val="num" w:pos="1440"/>
        </w:tabs>
        <w:ind w:left="1440" w:hanging="360"/>
      </w:pPr>
      <w:rPr>
        <w:rFonts w:ascii="Times New Roman" w:eastAsia="Times New Roman" w:hAnsi="Times New Roman" w:cs="Times New Roman" w:hint="default"/>
      </w:rPr>
    </w:lvl>
    <w:lvl w:ilvl="2" w:tplc="0410000F">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8053A5F"/>
    <w:multiLevelType w:val="hybridMultilevel"/>
    <w:tmpl w:val="9B3A99BC"/>
    <w:lvl w:ilvl="0" w:tplc="21FE712C">
      <w:start w:val="1"/>
      <w:numFmt w:val="decimal"/>
      <w:lvlText w:val="%1."/>
      <w:lvlJc w:val="left"/>
      <w:pPr>
        <w:tabs>
          <w:tab w:val="num" w:pos="360"/>
        </w:tabs>
        <w:ind w:left="360" w:hanging="360"/>
      </w:pPr>
      <w:rPr>
        <w:rFonts w:ascii="Arial" w:eastAsia="Times New Roman" w:hAnsi="Arial" w:cs="Arial"/>
      </w:rPr>
    </w:lvl>
    <w:lvl w:ilvl="1" w:tplc="BBF433EC">
      <w:start w:val="1"/>
      <w:numFmt w:val="lowerLetter"/>
      <w:lvlText w:val="%2)"/>
      <w:lvlJc w:val="left"/>
      <w:pPr>
        <w:ind w:left="-540" w:hanging="360"/>
      </w:pPr>
      <w:rPr>
        <w:rFonts w:hint="default"/>
      </w:rPr>
    </w:lvl>
    <w:lvl w:ilvl="2" w:tplc="0410000F">
      <w:start w:val="1"/>
      <w:numFmt w:val="decimal"/>
      <w:lvlText w:val="%3."/>
      <w:lvlJc w:val="left"/>
      <w:pPr>
        <w:tabs>
          <w:tab w:val="num" w:pos="180"/>
        </w:tabs>
        <w:ind w:left="180" w:hanging="180"/>
      </w:pPr>
    </w:lvl>
    <w:lvl w:ilvl="3" w:tplc="04100017">
      <w:start w:val="1"/>
      <w:numFmt w:val="lowerLetter"/>
      <w:lvlText w:val="%4)"/>
      <w:lvlJc w:val="left"/>
      <w:pPr>
        <w:tabs>
          <w:tab w:val="num" w:pos="900"/>
        </w:tabs>
        <w:ind w:left="900" w:hanging="360"/>
      </w:pPr>
    </w:lvl>
    <w:lvl w:ilvl="4" w:tplc="C3D0A7E4">
      <w:start w:val="1"/>
      <w:numFmt w:val="decimal"/>
      <w:lvlText w:val="%5"/>
      <w:lvlJc w:val="left"/>
      <w:pPr>
        <w:ind w:left="1620" w:hanging="360"/>
      </w:pPr>
      <w:rPr>
        <w:rFonts w:hint="default"/>
      </w:rPr>
    </w:lvl>
    <w:lvl w:ilvl="5" w:tplc="0410001B" w:tentative="1">
      <w:start w:val="1"/>
      <w:numFmt w:val="lowerRoman"/>
      <w:lvlText w:val="%6."/>
      <w:lvlJc w:val="right"/>
      <w:pPr>
        <w:tabs>
          <w:tab w:val="num" w:pos="2340"/>
        </w:tabs>
        <w:ind w:left="2340" w:hanging="180"/>
      </w:pPr>
    </w:lvl>
    <w:lvl w:ilvl="6" w:tplc="0410000F" w:tentative="1">
      <w:start w:val="1"/>
      <w:numFmt w:val="decimal"/>
      <w:lvlText w:val="%7."/>
      <w:lvlJc w:val="left"/>
      <w:pPr>
        <w:tabs>
          <w:tab w:val="num" w:pos="3060"/>
        </w:tabs>
        <w:ind w:left="3060" w:hanging="360"/>
      </w:pPr>
    </w:lvl>
    <w:lvl w:ilvl="7" w:tplc="04100019" w:tentative="1">
      <w:start w:val="1"/>
      <w:numFmt w:val="lowerLetter"/>
      <w:lvlText w:val="%8."/>
      <w:lvlJc w:val="left"/>
      <w:pPr>
        <w:tabs>
          <w:tab w:val="num" w:pos="3780"/>
        </w:tabs>
        <w:ind w:left="3780" w:hanging="360"/>
      </w:pPr>
    </w:lvl>
    <w:lvl w:ilvl="8" w:tplc="0410001B" w:tentative="1">
      <w:start w:val="1"/>
      <w:numFmt w:val="lowerRoman"/>
      <w:lvlText w:val="%9."/>
      <w:lvlJc w:val="right"/>
      <w:pPr>
        <w:tabs>
          <w:tab w:val="num" w:pos="4500"/>
        </w:tabs>
        <w:ind w:left="4500" w:hanging="180"/>
      </w:pPr>
    </w:lvl>
  </w:abstractNum>
  <w:abstractNum w:abstractNumId="7" w15:restartNumberingAfterBreak="0">
    <w:nsid w:val="1EFC4E77"/>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1FB92EF9"/>
    <w:multiLevelType w:val="hybridMultilevel"/>
    <w:tmpl w:val="CF50B43E"/>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9" w15:restartNumberingAfterBreak="0">
    <w:nsid w:val="205E750B"/>
    <w:multiLevelType w:val="hybridMultilevel"/>
    <w:tmpl w:val="E01C28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25206C21"/>
    <w:multiLevelType w:val="hybridMultilevel"/>
    <w:tmpl w:val="FF2ABBAA"/>
    <w:lvl w:ilvl="0" w:tplc="EAA098A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7CC6DD4"/>
    <w:multiLevelType w:val="hybridMultilevel"/>
    <w:tmpl w:val="399EE7CC"/>
    <w:lvl w:ilvl="0" w:tplc="04100011">
      <w:start w:val="1"/>
      <w:numFmt w:val="decimal"/>
      <w:lvlText w:val="%1)"/>
      <w:lvlJc w:val="left"/>
      <w:pPr>
        <w:tabs>
          <w:tab w:val="num" w:pos="360"/>
        </w:tabs>
        <w:ind w:left="360" w:hanging="360"/>
      </w:pPr>
      <w:rPr>
        <w:rFonts w:hint="default"/>
      </w:rPr>
    </w:lvl>
    <w:lvl w:ilvl="1" w:tplc="47EEDA0E">
      <w:start w:val="1"/>
      <w:numFmt w:val="decimal"/>
      <w:lvlText w:val="%2."/>
      <w:lvlJc w:val="left"/>
      <w:pPr>
        <w:tabs>
          <w:tab w:val="num" w:pos="360"/>
        </w:tabs>
        <w:ind w:left="360" w:hanging="360"/>
      </w:pPr>
      <w:rPr>
        <w:rFonts w:hint="default"/>
      </w:rPr>
    </w:lvl>
    <w:lvl w:ilvl="2" w:tplc="04100017">
      <w:start w:val="1"/>
      <w:numFmt w:val="lowerLetter"/>
      <w:lvlText w:val="%3)"/>
      <w:lvlJc w:val="left"/>
      <w:pPr>
        <w:tabs>
          <w:tab w:val="num" w:pos="1260"/>
        </w:tabs>
        <w:ind w:left="1260" w:hanging="36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12" w15:restartNumberingAfterBreak="0">
    <w:nsid w:val="2F366BEF"/>
    <w:multiLevelType w:val="hybridMultilevel"/>
    <w:tmpl w:val="CDD4BDBE"/>
    <w:lvl w:ilvl="0" w:tplc="73F6316A">
      <w:start w:val="1"/>
      <w:numFmt w:val="lowerLetter"/>
      <w:lvlText w:val="%1)"/>
      <w:lvlJc w:val="left"/>
      <w:pPr>
        <w:tabs>
          <w:tab w:val="num" w:pos="1440"/>
        </w:tabs>
        <w:ind w:left="1440" w:hanging="360"/>
      </w:pPr>
      <w:rPr>
        <w:rFonts w:hint="default"/>
      </w:rPr>
    </w:lvl>
    <w:lvl w:ilvl="1" w:tplc="47EEDA0E">
      <w:start w:val="1"/>
      <w:numFmt w:val="decimal"/>
      <w:lvlText w:val="%2."/>
      <w:lvlJc w:val="left"/>
      <w:pPr>
        <w:tabs>
          <w:tab w:val="num" w:pos="1440"/>
        </w:tabs>
        <w:ind w:left="1440" w:hanging="360"/>
      </w:pPr>
      <w:rPr>
        <w:rFonts w:hint="default"/>
      </w:rPr>
    </w:lvl>
    <w:lvl w:ilvl="2" w:tplc="DB4A1FAC">
      <w:start w:val="1"/>
      <w:numFmt w:val="decimal"/>
      <w:lvlText w:val="%3."/>
      <w:lvlJc w:val="left"/>
      <w:pPr>
        <w:tabs>
          <w:tab w:val="num" w:pos="2340"/>
        </w:tabs>
        <w:ind w:left="2340" w:hanging="360"/>
      </w:pPr>
      <w:rPr>
        <w:rFonts w:ascii="Arial" w:eastAsia="Times New Roman" w:hAnsi="Arial" w:cs="Arial"/>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3102DB3"/>
    <w:multiLevelType w:val="hybridMultilevel"/>
    <w:tmpl w:val="F626CC52"/>
    <w:lvl w:ilvl="0" w:tplc="21FE712C">
      <w:start w:val="1"/>
      <w:numFmt w:val="decimal"/>
      <w:lvlText w:val="%1."/>
      <w:lvlJc w:val="left"/>
      <w:pPr>
        <w:tabs>
          <w:tab w:val="num" w:pos="360"/>
        </w:tabs>
        <w:ind w:left="360" w:hanging="360"/>
      </w:pPr>
      <w:rPr>
        <w:rFonts w:ascii="Arial" w:eastAsia="Times New Roman" w:hAnsi="Arial" w:cs="Arial"/>
      </w:rPr>
    </w:lvl>
    <w:lvl w:ilvl="1" w:tplc="BBF433EC">
      <w:start w:val="1"/>
      <w:numFmt w:val="lowerLetter"/>
      <w:lvlText w:val="%2)"/>
      <w:lvlJc w:val="left"/>
      <w:pPr>
        <w:ind w:left="-540" w:hanging="360"/>
      </w:pPr>
      <w:rPr>
        <w:rFonts w:hint="default"/>
      </w:rPr>
    </w:lvl>
    <w:lvl w:ilvl="2" w:tplc="0410001B">
      <w:start w:val="1"/>
      <w:numFmt w:val="lowerRoman"/>
      <w:lvlText w:val="%3."/>
      <w:lvlJc w:val="right"/>
      <w:pPr>
        <w:tabs>
          <w:tab w:val="num" w:pos="180"/>
        </w:tabs>
        <w:ind w:left="180" w:hanging="180"/>
      </w:pPr>
    </w:lvl>
    <w:lvl w:ilvl="3" w:tplc="0410000F">
      <w:start w:val="1"/>
      <w:numFmt w:val="decimal"/>
      <w:lvlText w:val="%4."/>
      <w:lvlJc w:val="left"/>
      <w:pPr>
        <w:tabs>
          <w:tab w:val="num" w:pos="900"/>
        </w:tabs>
        <w:ind w:left="900" w:hanging="360"/>
      </w:pPr>
    </w:lvl>
    <w:lvl w:ilvl="4" w:tplc="04100019" w:tentative="1">
      <w:start w:val="1"/>
      <w:numFmt w:val="lowerLetter"/>
      <w:lvlText w:val="%5."/>
      <w:lvlJc w:val="left"/>
      <w:pPr>
        <w:tabs>
          <w:tab w:val="num" w:pos="1620"/>
        </w:tabs>
        <w:ind w:left="1620" w:hanging="360"/>
      </w:pPr>
    </w:lvl>
    <w:lvl w:ilvl="5" w:tplc="0410001B" w:tentative="1">
      <w:start w:val="1"/>
      <w:numFmt w:val="lowerRoman"/>
      <w:lvlText w:val="%6."/>
      <w:lvlJc w:val="right"/>
      <w:pPr>
        <w:tabs>
          <w:tab w:val="num" w:pos="2340"/>
        </w:tabs>
        <w:ind w:left="2340" w:hanging="180"/>
      </w:pPr>
    </w:lvl>
    <w:lvl w:ilvl="6" w:tplc="0410000F" w:tentative="1">
      <w:start w:val="1"/>
      <w:numFmt w:val="decimal"/>
      <w:lvlText w:val="%7."/>
      <w:lvlJc w:val="left"/>
      <w:pPr>
        <w:tabs>
          <w:tab w:val="num" w:pos="3060"/>
        </w:tabs>
        <w:ind w:left="3060" w:hanging="360"/>
      </w:pPr>
    </w:lvl>
    <w:lvl w:ilvl="7" w:tplc="04100019" w:tentative="1">
      <w:start w:val="1"/>
      <w:numFmt w:val="lowerLetter"/>
      <w:lvlText w:val="%8."/>
      <w:lvlJc w:val="left"/>
      <w:pPr>
        <w:tabs>
          <w:tab w:val="num" w:pos="3780"/>
        </w:tabs>
        <w:ind w:left="3780" w:hanging="360"/>
      </w:pPr>
    </w:lvl>
    <w:lvl w:ilvl="8" w:tplc="0410001B" w:tentative="1">
      <w:start w:val="1"/>
      <w:numFmt w:val="lowerRoman"/>
      <w:lvlText w:val="%9."/>
      <w:lvlJc w:val="right"/>
      <w:pPr>
        <w:tabs>
          <w:tab w:val="num" w:pos="4500"/>
        </w:tabs>
        <w:ind w:left="4500" w:hanging="180"/>
      </w:pPr>
    </w:lvl>
  </w:abstractNum>
  <w:abstractNum w:abstractNumId="14" w15:restartNumberingAfterBreak="0">
    <w:nsid w:val="35372D30"/>
    <w:multiLevelType w:val="hybridMultilevel"/>
    <w:tmpl w:val="B80E7E76"/>
    <w:lvl w:ilvl="0" w:tplc="73F6316A">
      <w:start w:val="1"/>
      <w:numFmt w:val="lowerLetter"/>
      <w:lvlText w:val="%1)"/>
      <w:lvlJc w:val="left"/>
      <w:pPr>
        <w:tabs>
          <w:tab w:val="num" w:pos="1440"/>
        </w:tabs>
        <w:ind w:left="1440" w:hanging="360"/>
      </w:pPr>
      <w:rPr>
        <w:rFonts w:hint="default"/>
      </w:rPr>
    </w:lvl>
    <w:lvl w:ilvl="1" w:tplc="47EEDA0E">
      <w:start w:val="1"/>
      <w:numFmt w:val="decimal"/>
      <w:lvlText w:val="%2."/>
      <w:lvlJc w:val="left"/>
      <w:pPr>
        <w:tabs>
          <w:tab w:val="num" w:pos="1440"/>
        </w:tabs>
        <w:ind w:left="1440" w:hanging="360"/>
      </w:pPr>
      <w:rPr>
        <w:rFonts w:hint="default"/>
      </w:rPr>
    </w:lvl>
    <w:lvl w:ilvl="2" w:tplc="04100017">
      <w:start w:val="1"/>
      <w:numFmt w:val="lowerLetter"/>
      <w:lvlText w:val="%3)"/>
      <w:lvlJc w:val="left"/>
      <w:pPr>
        <w:tabs>
          <w:tab w:val="num" w:pos="2340"/>
        </w:tabs>
        <w:ind w:left="2340" w:hanging="360"/>
      </w:pPr>
    </w:lvl>
    <w:lvl w:ilvl="3" w:tplc="E3664C70">
      <w:start w:val="3"/>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13F5FAB"/>
    <w:multiLevelType w:val="hybridMultilevel"/>
    <w:tmpl w:val="B5C28838"/>
    <w:lvl w:ilvl="0" w:tplc="37DAF97A">
      <w:start w:val="1"/>
      <w:numFmt w:val="decimal"/>
      <w:lvlText w:val="%1."/>
      <w:lvlJc w:val="left"/>
      <w:pPr>
        <w:tabs>
          <w:tab w:val="num" w:pos="2340"/>
        </w:tabs>
        <w:ind w:left="23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2E2120C"/>
    <w:multiLevelType w:val="hybridMultilevel"/>
    <w:tmpl w:val="63BA32F6"/>
    <w:lvl w:ilvl="0" w:tplc="579A4022">
      <w:start w:val="1"/>
      <w:numFmt w:val="decimal"/>
      <w:lvlText w:val="%1."/>
      <w:lvlJc w:val="left"/>
      <w:pPr>
        <w:tabs>
          <w:tab w:val="num" w:pos="360"/>
        </w:tabs>
        <w:ind w:left="360" w:hanging="360"/>
      </w:pPr>
      <w:rPr>
        <w:rFonts w:ascii="Arial" w:hAnsi="Arial" w:hint="default"/>
        <w:b w:val="0"/>
        <w:i w:val="0"/>
        <w:sz w:val="24"/>
        <w:szCs w:val="24"/>
      </w:rPr>
    </w:lvl>
    <w:lvl w:ilvl="1" w:tplc="9626D086">
      <w:start w:val="1"/>
      <w:numFmt w:val="decimal"/>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4C383EB0"/>
    <w:multiLevelType w:val="hybridMultilevel"/>
    <w:tmpl w:val="3BCEB0EC"/>
    <w:lvl w:ilvl="0" w:tplc="0410000F">
      <w:start w:val="1"/>
      <w:numFmt w:val="decimal"/>
      <w:lvlText w:val="%1."/>
      <w:lvlJc w:val="left"/>
      <w:pPr>
        <w:tabs>
          <w:tab w:val="num" w:pos="2340"/>
        </w:tabs>
        <w:ind w:left="234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46F6051"/>
    <w:multiLevelType w:val="hybridMultilevel"/>
    <w:tmpl w:val="9CE820C6"/>
    <w:lvl w:ilvl="0" w:tplc="0410000F">
      <w:start w:val="1"/>
      <w:numFmt w:val="decimal"/>
      <w:lvlText w:val="%1."/>
      <w:lvlJc w:val="left"/>
      <w:pPr>
        <w:tabs>
          <w:tab w:val="num" w:pos="360"/>
        </w:tabs>
        <w:ind w:left="360" w:hanging="360"/>
      </w:pPr>
      <w:rPr>
        <w:rFonts w:hint="default"/>
      </w:rPr>
    </w:lvl>
    <w:lvl w:ilvl="1" w:tplc="47EEDA0E">
      <w:start w:val="1"/>
      <w:numFmt w:val="decimal"/>
      <w:lvlText w:val="%2."/>
      <w:lvlJc w:val="left"/>
      <w:pPr>
        <w:tabs>
          <w:tab w:val="num" w:pos="360"/>
        </w:tabs>
        <w:ind w:left="360" w:hanging="360"/>
      </w:pPr>
      <w:rPr>
        <w:rFonts w:hint="default"/>
      </w:rPr>
    </w:lvl>
    <w:lvl w:ilvl="2" w:tplc="04100017">
      <w:start w:val="1"/>
      <w:numFmt w:val="lowerLetter"/>
      <w:lvlText w:val="%3)"/>
      <w:lvlJc w:val="left"/>
      <w:pPr>
        <w:tabs>
          <w:tab w:val="num" w:pos="1260"/>
        </w:tabs>
        <w:ind w:left="1260" w:hanging="36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19" w15:restartNumberingAfterBreak="0">
    <w:nsid w:val="562B6EF3"/>
    <w:multiLevelType w:val="hybridMultilevel"/>
    <w:tmpl w:val="AFFAA116"/>
    <w:lvl w:ilvl="0" w:tplc="D5BC2704">
      <w:numFmt w:val="bullet"/>
      <w:lvlText w:val="–"/>
      <w:lvlJc w:val="left"/>
      <w:pPr>
        <w:tabs>
          <w:tab w:val="num" w:pos="720"/>
        </w:tabs>
        <w:ind w:left="720" w:hanging="360"/>
      </w:pPr>
      <w:rPr>
        <w:rFonts w:ascii="Times New Roman" w:eastAsia="Times New Roman" w:hAnsi="Times New Roman" w:cs="Times New Roman" w:hint="default"/>
      </w:rPr>
    </w:lvl>
    <w:lvl w:ilvl="1" w:tplc="45AC5916">
      <w:start w:val="1"/>
      <w:numFmt w:val="bullet"/>
      <w:lvlText w:val=""/>
      <w:lvlJc w:val="left"/>
      <w:pPr>
        <w:tabs>
          <w:tab w:val="num" w:pos="1440"/>
        </w:tabs>
        <w:ind w:left="1440" w:hanging="360"/>
      </w:pPr>
      <w:rPr>
        <w:rFonts w:ascii="Symbol" w:hAnsi="Symbol" w:hint="default"/>
      </w:rPr>
    </w:lvl>
    <w:lvl w:ilvl="2" w:tplc="39D073B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71D2AB8"/>
    <w:multiLevelType w:val="hybridMultilevel"/>
    <w:tmpl w:val="99829C8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1" w15:restartNumberingAfterBreak="0">
    <w:nsid w:val="576744D3"/>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3D58DC"/>
    <w:multiLevelType w:val="hybridMultilevel"/>
    <w:tmpl w:val="4E4C46D0"/>
    <w:lvl w:ilvl="0" w:tplc="55725A78">
      <w:start w:val="1"/>
      <w:numFmt w:val="lowerLetter"/>
      <w:lvlText w:val="%1)"/>
      <w:lvlJc w:val="left"/>
      <w:pPr>
        <w:ind w:left="720" w:hanging="360"/>
      </w:pPr>
      <w:rPr>
        <w:rFonts w:cs="Times New Roman" w:hint="default"/>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2636BB"/>
    <w:multiLevelType w:val="hybridMultilevel"/>
    <w:tmpl w:val="A808B94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FE35817"/>
    <w:multiLevelType w:val="hybridMultilevel"/>
    <w:tmpl w:val="404C13EE"/>
    <w:lvl w:ilvl="0" w:tplc="32DCAEE0">
      <w:numFmt w:val="bullet"/>
      <w:lvlText w:val="-"/>
      <w:lvlJc w:val="left"/>
      <w:pPr>
        <w:tabs>
          <w:tab w:val="num" w:pos="720"/>
        </w:tabs>
        <w:ind w:left="720" w:hanging="360"/>
      </w:pPr>
      <w:rPr>
        <w:rFonts w:ascii="Times New Roman" w:eastAsia="Times New Roman" w:hAnsi="Times New Roman" w:cs="Times New Roman" w:hint="default"/>
      </w:rPr>
    </w:lvl>
    <w:lvl w:ilvl="1" w:tplc="32DCAEE0">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65C8D"/>
    <w:multiLevelType w:val="hybridMultilevel"/>
    <w:tmpl w:val="9E083D92"/>
    <w:lvl w:ilvl="0" w:tplc="04100001">
      <w:start w:val="1"/>
      <w:numFmt w:val="bullet"/>
      <w:lvlText w:val=""/>
      <w:lvlJc w:val="left"/>
      <w:pPr>
        <w:tabs>
          <w:tab w:val="num" w:pos="720"/>
        </w:tabs>
        <w:ind w:left="720" w:hanging="360"/>
      </w:pPr>
      <w:rPr>
        <w:rFonts w:ascii="Symbol" w:hAnsi="Symbol" w:hint="default"/>
      </w:rPr>
    </w:lvl>
    <w:lvl w:ilvl="1" w:tplc="45AC5916">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66E455C"/>
    <w:multiLevelType w:val="singleLevel"/>
    <w:tmpl w:val="0410000F"/>
    <w:lvl w:ilvl="0">
      <w:start w:val="1"/>
      <w:numFmt w:val="decimal"/>
      <w:lvlText w:val="%1."/>
      <w:lvlJc w:val="left"/>
      <w:pPr>
        <w:tabs>
          <w:tab w:val="num" w:pos="360"/>
        </w:tabs>
        <w:ind w:left="360" w:hanging="360"/>
      </w:pPr>
    </w:lvl>
  </w:abstractNum>
  <w:abstractNum w:abstractNumId="27" w15:restartNumberingAfterBreak="0">
    <w:nsid w:val="6E1D30BD"/>
    <w:multiLevelType w:val="hybridMultilevel"/>
    <w:tmpl w:val="076628CA"/>
    <w:lvl w:ilvl="0" w:tplc="55725A78">
      <w:start w:val="1"/>
      <w:numFmt w:val="lowerLetter"/>
      <w:lvlText w:val="%1)"/>
      <w:lvlJc w:val="left"/>
      <w:pPr>
        <w:ind w:left="927" w:hanging="360"/>
      </w:pPr>
      <w:rPr>
        <w:rFonts w:cs="Times New Roman" w:hint="default"/>
        <w:color w:val="auto"/>
      </w:rPr>
    </w:lvl>
    <w:lvl w:ilvl="1" w:tplc="04100019">
      <w:start w:val="1"/>
      <w:numFmt w:val="lowerLetter"/>
      <w:lvlText w:val="%2."/>
      <w:lvlJc w:val="left"/>
      <w:pPr>
        <w:ind w:left="1647" w:hanging="360"/>
      </w:pPr>
    </w:lvl>
    <w:lvl w:ilvl="2" w:tplc="04100017">
      <w:start w:val="1"/>
      <w:numFmt w:val="lowerLetter"/>
      <w:lvlText w:val="%3)"/>
      <w:lvlJc w:val="lef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8" w15:restartNumberingAfterBreak="0">
    <w:nsid w:val="749840DF"/>
    <w:multiLevelType w:val="singleLevel"/>
    <w:tmpl w:val="D446294E"/>
    <w:lvl w:ilvl="0">
      <w:start w:val="1"/>
      <w:numFmt w:val="decimal"/>
      <w:lvlText w:val="%1) "/>
      <w:legacy w:legacy="1" w:legacySpace="0" w:legacyIndent="283"/>
      <w:lvlJc w:val="left"/>
      <w:pPr>
        <w:ind w:left="283" w:hanging="283"/>
      </w:pPr>
      <w:rPr>
        <w:rFonts w:ascii="Arial" w:hAnsi="Arial" w:cs="Arial" w:hint="default"/>
        <w:b w:val="0"/>
        <w:bCs w:val="0"/>
        <w:i w:val="0"/>
        <w:iCs w:val="0"/>
        <w:sz w:val="24"/>
        <w:szCs w:val="24"/>
      </w:rPr>
    </w:lvl>
  </w:abstractNum>
  <w:abstractNum w:abstractNumId="29" w15:restartNumberingAfterBreak="0">
    <w:nsid w:val="769F7168"/>
    <w:multiLevelType w:val="hybridMultilevel"/>
    <w:tmpl w:val="F31E5642"/>
    <w:lvl w:ilvl="0" w:tplc="BBF433EC">
      <w:start w:val="1"/>
      <w:numFmt w:val="lowerLetter"/>
      <w:lvlText w:val="%1)"/>
      <w:lvlJc w:val="left"/>
      <w:pPr>
        <w:ind w:left="360" w:hanging="360"/>
      </w:pPr>
      <w:rPr>
        <w:rFonts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30" w15:restartNumberingAfterBreak="0">
    <w:nsid w:val="79451D62"/>
    <w:multiLevelType w:val="hybridMultilevel"/>
    <w:tmpl w:val="9AD68198"/>
    <w:lvl w:ilvl="0" w:tplc="73F6316A">
      <w:start w:val="1"/>
      <w:numFmt w:val="lowerLetter"/>
      <w:lvlText w:val="%1)"/>
      <w:lvlJc w:val="left"/>
      <w:pPr>
        <w:tabs>
          <w:tab w:val="num" w:pos="1440"/>
        </w:tabs>
        <w:ind w:left="1440" w:hanging="360"/>
      </w:pPr>
      <w:rPr>
        <w:rFonts w:hint="default"/>
      </w:rPr>
    </w:lvl>
    <w:lvl w:ilvl="1" w:tplc="D5BC2704">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6"/>
  </w:num>
  <w:num w:numId="2">
    <w:abstractNumId w:val="0"/>
  </w:num>
  <w:num w:numId="3">
    <w:abstractNumId w:val="1"/>
  </w:num>
  <w:num w:numId="4">
    <w:abstractNumId w:val="5"/>
  </w:num>
  <w:num w:numId="5">
    <w:abstractNumId w:val="24"/>
  </w:num>
  <w:num w:numId="6">
    <w:abstractNumId w:val="12"/>
  </w:num>
  <w:num w:numId="7">
    <w:abstractNumId w:val="25"/>
  </w:num>
  <w:num w:numId="8">
    <w:abstractNumId w:val="19"/>
  </w:num>
  <w:num w:numId="9">
    <w:abstractNumId w:val="16"/>
  </w:num>
  <w:num w:numId="10">
    <w:abstractNumId w:val="23"/>
  </w:num>
  <w:num w:numId="11">
    <w:abstractNumId w:val="15"/>
  </w:num>
  <w:num w:numId="12">
    <w:abstractNumId w:val="13"/>
  </w:num>
  <w:num w:numId="13">
    <w:abstractNumId w:val="10"/>
  </w:num>
  <w:num w:numId="14">
    <w:abstractNumId w:val="30"/>
  </w:num>
  <w:num w:numId="15">
    <w:abstractNumId w:val="2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6"/>
  </w:num>
  <w:num w:numId="20">
    <w:abstractNumId w:val="27"/>
  </w:num>
  <w:num w:numId="21">
    <w:abstractNumId w:val="3"/>
    <w:lvlOverride w:ilvl="0">
      <w:startOverride w:val="1"/>
    </w:lvlOverride>
  </w:num>
  <w:num w:numId="22">
    <w:abstractNumId w:val="17"/>
  </w:num>
  <w:num w:numId="23">
    <w:abstractNumId w:val="14"/>
  </w:num>
  <w:num w:numId="24">
    <w:abstractNumId w:val="11"/>
  </w:num>
  <w:num w:numId="25">
    <w:abstractNumId w:val="1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21"/>
    <w:rsid w:val="000134B9"/>
    <w:rsid w:val="00022699"/>
    <w:rsid w:val="000A0A64"/>
    <w:rsid w:val="00156615"/>
    <w:rsid w:val="001D6756"/>
    <w:rsid w:val="00294F61"/>
    <w:rsid w:val="002B0E5D"/>
    <w:rsid w:val="00312AD3"/>
    <w:rsid w:val="00350950"/>
    <w:rsid w:val="00362C27"/>
    <w:rsid w:val="003E5F81"/>
    <w:rsid w:val="003F1E79"/>
    <w:rsid w:val="003F4F6C"/>
    <w:rsid w:val="00414F14"/>
    <w:rsid w:val="00434F29"/>
    <w:rsid w:val="00450715"/>
    <w:rsid w:val="004A024A"/>
    <w:rsid w:val="00525E02"/>
    <w:rsid w:val="00634E7E"/>
    <w:rsid w:val="006619D7"/>
    <w:rsid w:val="006A791B"/>
    <w:rsid w:val="00710882"/>
    <w:rsid w:val="007426CA"/>
    <w:rsid w:val="00766712"/>
    <w:rsid w:val="009641FA"/>
    <w:rsid w:val="0099105C"/>
    <w:rsid w:val="009D7257"/>
    <w:rsid w:val="00A35538"/>
    <w:rsid w:val="00A3682C"/>
    <w:rsid w:val="00AA4BB5"/>
    <w:rsid w:val="00AD2892"/>
    <w:rsid w:val="00AF06E4"/>
    <w:rsid w:val="00B25D57"/>
    <w:rsid w:val="00B40839"/>
    <w:rsid w:val="00B73EC9"/>
    <w:rsid w:val="00BB478F"/>
    <w:rsid w:val="00BD0472"/>
    <w:rsid w:val="00BF7B21"/>
    <w:rsid w:val="00C04BFB"/>
    <w:rsid w:val="00C7078F"/>
    <w:rsid w:val="00CD76C3"/>
    <w:rsid w:val="00CE024E"/>
    <w:rsid w:val="00D03862"/>
    <w:rsid w:val="00DC163F"/>
    <w:rsid w:val="00DF646B"/>
    <w:rsid w:val="00E44F86"/>
    <w:rsid w:val="00EF5D25"/>
    <w:rsid w:val="00F264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DAE14"/>
  <w15:chartTrackingRefBased/>
  <w15:docId w15:val="{01BF90E3-A099-4988-AE5B-82BF5621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outlineLvl w:val="0"/>
    </w:pPr>
    <w:rPr>
      <w:rFonts w:ascii="BookAntiqua-Bold" w:hAnsi="BookAntiqua-Bold"/>
      <w:b/>
      <w:bCs/>
      <w:szCs w:val="28"/>
    </w:rPr>
  </w:style>
  <w:style w:type="paragraph" w:styleId="Titolo2">
    <w:name w:val="heading 2"/>
    <w:basedOn w:val="Normale"/>
    <w:next w:val="Normale"/>
    <w:qFormat/>
    <w:pPr>
      <w:keepNext/>
      <w:jc w:val="both"/>
      <w:outlineLvl w:val="1"/>
    </w:pPr>
    <w:rPr>
      <w:rFonts w:ascii="Arial" w:hAnsi="Arial" w:cs="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notaapidipagina">
    <w:name w:val="Carattere nota a piè di pagina"/>
    <w:rPr>
      <w:rFonts w:ascii="Arial" w:hAnsi="Arial"/>
      <w:sz w:val="18"/>
      <w:vertAlign w:val="superscript"/>
    </w:rPr>
  </w:style>
  <w:style w:type="paragraph" w:customStyle="1" w:styleId="Default">
    <w:name w:val="Default"/>
    <w:pPr>
      <w:autoSpaceDE w:val="0"/>
      <w:autoSpaceDN w:val="0"/>
      <w:adjustRightInd w:val="0"/>
    </w:pPr>
    <w:rPr>
      <w:rFonts w:ascii="Garamond" w:hAnsi="Garamond"/>
      <w:color w:val="000000"/>
      <w:sz w:val="24"/>
      <w:szCs w:val="24"/>
    </w:rPr>
  </w:style>
  <w:style w:type="paragraph" w:styleId="Rientrocorpodeltesto">
    <w:name w:val="Body Text Indent"/>
    <w:basedOn w:val="Normale"/>
    <w:semiHidden/>
    <w:pPr>
      <w:ind w:left="360"/>
      <w:jc w:val="both"/>
    </w:pPr>
    <w:rPr>
      <w:rFonts w:ascii="Arial" w:hAnsi="Arial" w:cs="Arial"/>
      <w:sz w:val="22"/>
    </w:rPr>
  </w:style>
  <w:style w:type="paragraph" w:styleId="Corpotesto">
    <w:name w:val="Body Text"/>
    <w:basedOn w:val="Normale"/>
    <w:semiHidden/>
    <w:pPr>
      <w:jc w:val="both"/>
    </w:pPr>
    <w:rPr>
      <w:rFonts w:ascii="Arial" w:hAnsi="Arial" w:cs="Arial"/>
      <w:sz w:val="22"/>
    </w:rPr>
  </w:style>
  <w:style w:type="character" w:styleId="Enfasigrassetto">
    <w:name w:val="Strong"/>
    <w:qFormat/>
    <w:rPr>
      <w:b/>
      <w:bCs/>
    </w:rPr>
  </w:style>
  <w:style w:type="paragraph" w:styleId="Intestazione">
    <w:name w:val="header"/>
    <w:basedOn w:val="Normale"/>
    <w:link w:val="IntestazioneCarattere"/>
    <w:uiPriority w:val="99"/>
    <w:unhideWhenUsed/>
    <w:rsid w:val="00B73EC9"/>
    <w:pPr>
      <w:tabs>
        <w:tab w:val="center" w:pos="4819"/>
        <w:tab w:val="right" w:pos="9638"/>
      </w:tabs>
    </w:pPr>
  </w:style>
  <w:style w:type="character" w:customStyle="1" w:styleId="IntestazioneCarattere">
    <w:name w:val="Intestazione Carattere"/>
    <w:link w:val="Intestazione"/>
    <w:uiPriority w:val="99"/>
    <w:rsid w:val="00B73EC9"/>
    <w:rPr>
      <w:sz w:val="24"/>
      <w:szCs w:val="24"/>
    </w:rPr>
  </w:style>
  <w:style w:type="paragraph" w:styleId="Pidipagina">
    <w:name w:val="footer"/>
    <w:basedOn w:val="Normale"/>
    <w:link w:val="PidipaginaCarattere"/>
    <w:uiPriority w:val="99"/>
    <w:unhideWhenUsed/>
    <w:rsid w:val="00B73EC9"/>
    <w:pPr>
      <w:tabs>
        <w:tab w:val="center" w:pos="4819"/>
        <w:tab w:val="right" w:pos="9638"/>
      </w:tabs>
    </w:pPr>
  </w:style>
  <w:style w:type="character" w:customStyle="1" w:styleId="PidipaginaCarattere">
    <w:name w:val="Piè di pagina Carattere"/>
    <w:link w:val="Pidipagina"/>
    <w:uiPriority w:val="99"/>
    <w:rsid w:val="00B73EC9"/>
    <w:rPr>
      <w:sz w:val="24"/>
      <w:szCs w:val="24"/>
    </w:rPr>
  </w:style>
  <w:style w:type="paragraph" w:styleId="Testofumetto">
    <w:name w:val="Balloon Text"/>
    <w:basedOn w:val="Normale"/>
    <w:link w:val="TestofumettoCarattere"/>
    <w:uiPriority w:val="99"/>
    <w:semiHidden/>
    <w:unhideWhenUsed/>
    <w:rsid w:val="00DC16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163F"/>
    <w:rPr>
      <w:rFonts w:ascii="Segoe UI" w:hAnsi="Segoe UI" w:cs="Segoe UI"/>
      <w:sz w:val="18"/>
      <w:szCs w:val="18"/>
    </w:rPr>
  </w:style>
  <w:style w:type="paragraph" w:styleId="Testonotaapidipagina">
    <w:name w:val="footnote text"/>
    <w:basedOn w:val="Normale"/>
    <w:link w:val="TestonotaapidipaginaCarattere"/>
    <w:semiHidden/>
    <w:unhideWhenUsed/>
    <w:rsid w:val="00434F29"/>
    <w:rPr>
      <w:sz w:val="20"/>
      <w:szCs w:val="20"/>
    </w:rPr>
  </w:style>
  <w:style w:type="character" w:customStyle="1" w:styleId="TestonotaapidipaginaCarattere">
    <w:name w:val="Testo nota a piè di pagina Carattere"/>
    <w:basedOn w:val="Carpredefinitoparagrafo"/>
    <w:link w:val="Testonotaapidipagina"/>
    <w:semiHidden/>
    <w:rsid w:val="00434F29"/>
  </w:style>
  <w:style w:type="character" w:styleId="Rimandonotaapidipagina">
    <w:name w:val="footnote reference"/>
    <w:semiHidden/>
    <w:unhideWhenUsed/>
    <w:rsid w:val="00434F29"/>
    <w:rPr>
      <w:vertAlign w:val="superscript"/>
    </w:rPr>
  </w:style>
  <w:style w:type="paragraph" w:styleId="Paragrafoelenco">
    <w:name w:val="List Paragraph"/>
    <w:basedOn w:val="Normale"/>
    <w:uiPriority w:val="34"/>
    <w:qFormat/>
    <w:rsid w:val="004A024A"/>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26353">
      <w:bodyDiv w:val="1"/>
      <w:marLeft w:val="0"/>
      <w:marRight w:val="0"/>
      <w:marTop w:val="0"/>
      <w:marBottom w:val="0"/>
      <w:divBdr>
        <w:top w:val="none" w:sz="0" w:space="0" w:color="auto"/>
        <w:left w:val="none" w:sz="0" w:space="0" w:color="auto"/>
        <w:bottom w:val="none" w:sz="0" w:space="0" w:color="auto"/>
        <w:right w:val="none" w:sz="0" w:space="0" w:color="auto"/>
      </w:divBdr>
    </w:div>
    <w:div w:id="654141575">
      <w:bodyDiv w:val="1"/>
      <w:marLeft w:val="0"/>
      <w:marRight w:val="0"/>
      <w:marTop w:val="0"/>
      <w:marBottom w:val="0"/>
      <w:divBdr>
        <w:top w:val="none" w:sz="0" w:space="0" w:color="auto"/>
        <w:left w:val="none" w:sz="0" w:space="0" w:color="auto"/>
        <w:bottom w:val="none" w:sz="0" w:space="0" w:color="auto"/>
        <w:right w:val="none" w:sz="0" w:space="0" w:color="auto"/>
      </w:divBdr>
    </w:div>
    <w:div w:id="721295313">
      <w:bodyDiv w:val="1"/>
      <w:marLeft w:val="0"/>
      <w:marRight w:val="0"/>
      <w:marTop w:val="0"/>
      <w:marBottom w:val="0"/>
      <w:divBdr>
        <w:top w:val="none" w:sz="0" w:space="0" w:color="auto"/>
        <w:left w:val="none" w:sz="0" w:space="0" w:color="auto"/>
        <w:bottom w:val="none" w:sz="0" w:space="0" w:color="auto"/>
        <w:right w:val="none" w:sz="0" w:space="0" w:color="auto"/>
      </w:divBdr>
    </w:div>
    <w:div w:id="1213031789">
      <w:bodyDiv w:val="1"/>
      <w:marLeft w:val="0"/>
      <w:marRight w:val="0"/>
      <w:marTop w:val="0"/>
      <w:marBottom w:val="0"/>
      <w:divBdr>
        <w:top w:val="none" w:sz="0" w:space="0" w:color="auto"/>
        <w:left w:val="none" w:sz="0" w:space="0" w:color="auto"/>
        <w:bottom w:val="none" w:sz="0" w:space="0" w:color="auto"/>
        <w:right w:val="none" w:sz="0" w:space="0" w:color="auto"/>
      </w:divBdr>
    </w:div>
    <w:div w:id="1339894188">
      <w:bodyDiv w:val="1"/>
      <w:marLeft w:val="0"/>
      <w:marRight w:val="0"/>
      <w:marTop w:val="0"/>
      <w:marBottom w:val="0"/>
      <w:divBdr>
        <w:top w:val="none" w:sz="0" w:space="0" w:color="auto"/>
        <w:left w:val="none" w:sz="0" w:space="0" w:color="auto"/>
        <w:bottom w:val="none" w:sz="0" w:space="0" w:color="auto"/>
        <w:right w:val="none" w:sz="0" w:space="0" w:color="auto"/>
      </w:divBdr>
    </w:div>
    <w:div w:id="1820032486">
      <w:bodyDiv w:val="1"/>
      <w:marLeft w:val="0"/>
      <w:marRight w:val="0"/>
      <w:marTop w:val="0"/>
      <w:marBottom w:val="0"/>
      <w:divBdr>
        <w:top w:val="none" w:sz="0" w:space="0" w:color="auto"/>
        <w:left w:val="none" w:sz="0" w:space="0" w:color="auto"/>
        <w:bottom w:val="none" w:sz="0" w:space="0" w:color="auto"/>
        <w:right w:val="none" w:sz="0" w:space="0" w:color="auto"/>
      </w:divBdr>
    </w:div>
    <w:div w:id="2058116386">
      <w:bodyDiv w:val="1"/>
      <w:marLeft w:val="0"/>
      <w:marRight w:val="0"/>
      <w:marTop w:val="0"/>
      <w:marBottom w:val="0"/>
      <w:divBdr>
        <w:top w:val="none" w:sz="0" w:space="0" w:color="auto"/>
        <w:left w:val="none" w:sz="0" w:space="0" w:color="auto"/>
        <w:bottom w:val="none" w:sz="0" w:space="0" w:color="auto"/>
        <w:right w:val="none" w:sz="0" w:space="0" w:color="auto"/>
      </w:divBdr>
    </w:div>
    <w:div w:id="20655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2247</Words>
  <Characters>12808</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Piredda</dc:creator>
  <cp:keywords/>
  <dc:description/>
  <cp:lastModifiedBy>ELISA BO</cp:lastModifiedBy>
  <cp:revision>4</cp:revision>
  <cp:lastPrinted>2020-05-06T14:42:00Z</cp:lastPrinted>
  <dcterms:created xsi:type="dcterms:W3CDTF">2020-05-06T14:47:00Z</dcterms:created>
  <dcterms:modified xsi:type="dcterms:W3CDTF">2020-05-07T07:37:00Z</dcterms:modified>
</cp:coreProperties>
</file>